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textAlignment w:val="auto"/>
        <w:rPr>
          <w:rFonts w:hint="eastAsia" w:cs="宋体" w:asciiTheme="minorEastAsia" w:hAnsiTheme="minorEastAsia" w:eastAsiaTheme="minorEastAsia"/>
          <w:b w:val="0"/>
          <w:bCs w:val="0"/>
          <w:szCs w:val="24"/>
        </w:rPr>
      </w:pPr>
      <w:bookmarkStart w:id="0" w:name="_Hlk125012438"/>
      <w:r>
        <w:rPr>
          <w:rFonts w:hint="eastAsia" w:cs="宋体" w:asciiTheme="minorEastAsia" w:hAnsiTheme="minorEastAsia" w:eastAsiaTheme="minorEastAsia"/>
          <w:b w:val="0"/>
          <w:bCs w:val="0"/>
          <w:szCs w:val="24"/>
        </w:rPr>
        <w:t>附件3</w:t>
      </w:r>
    </w:p>
    <w:p>
      <w:pPr>
        <w:pStyle w:val="11"/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公共资源交易服务机构联系表</w:t>
      </w:r>
      <w:bookmarkEnd w:id="1"/>
    </w:p>
    <w:p>
      <w:pPr>
        <w:pStyle w:val="11"/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center"/>
        <w:textAlignment w:val="auto"/>
        <w:rPr>
          <w:rFonts w:asciiTheme="minorEastAsia" w:hAnsiTheme="minorEastAsia" w:cstheme="minorEastAsia"/>
          <w:b w:val="0"/>
          <w:bCs w:val="0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930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各公共资源交易中心名称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吉林省公共资源交易中心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0431-85177688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长春市人民大街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9999号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长春市公共资源交易中心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0431-88779428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长春市南关区华新街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700号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松原市公共资源交易中心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0438-2108017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松原市宁江区东镇东路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3518号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四平市公共资源交易中心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0434-3211113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四平市铁西区北建平街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辽源市公共资源交易中心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0437-3338015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辽源市龙山区齐宁路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655号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通化市公共资源交易中心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0435-3295811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通化市新城路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白山市公共资源交易中心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0439-3254156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白山市浑江区江北街道翠柏路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白城市公共资源交易中心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18166820098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白城市洮北区公园东路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延边州公共资源交易中心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0433-8333039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延吉市光华路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166-1号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吉林市公共资源交易中心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0432-63688340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吉林市解放西路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长白山公共资源交易中心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0439-3254156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安图县二道白河镇长白山管委会行政服务中心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梅河口市公共资源交易中心</w:t>
            </w:r>
          </w:p>
        </w:tc>
        <w:tc>
          <w:tcPr>
            <w:tcW w:w="193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0435-4578810</w:t>
            </w:r>
          </w:p>
        </w:tc>
        <w:tc>
          <w:tcPr>
            <w:tcW w:w="3410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theme="minorEastAsia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</w:rPr>
              <w:t>梅河口市康美大道</w:t>
            </w:r>
            <w:r>
              <w:rPr>
                <w:rFonts w:ascii="仿宋" w:hAnsi="仿宋" w:eastAsia="仿宋" w:cstheme="minorEastAsia"/>
                <w:b w:val="0"/>
                <w:bCs w:val="0"/>
                <w:sz w:val="24"/>
              </w:rPr>
              <w:t>519号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center"/>
        <w:textAlignment w:val="auto"/>
        <w:rPr>
          <w:rFonts w:asciiTheme="minorEastAsia" w:hAnsiTheme="minorEastAsia" w:cstheme="minorEastAsia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center"/>
        <w:textAlignment w:val="auto"/>
        <w:rPr>
          <w:rFonts w:asciiTheme="minorEastAsia" w:hAnsiTheme="minorEastAsia" w:cstheme="minorEastAsia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rFonts w:asciiTheme="minorEastAsia" w:hAnsiTheme="minorEastAsia" w:cstheme="minorEastAsia"/>
          <w:b w:val="0"/>
          <w:bCs w:val="0"/>
          <w:sz w:val="24"/>
        </w:rPr>
      </w:pPr>
    </w:p>
    <w:bookmarkEnd w:id="0"/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DF3712"/>
    <w:rsid w:val="28204A58"/>
    <w:rsid w:val="289B6FB8"/>
    <w:rsid w:val="2CC34063"/>
    <w:rsid w:val="33350034"/>
    <w:rsid w:val="3BFA2921"/>
    <w:rsid w:val="40C31302"/>
    <w:rsid w:val="46623CEE"/>
    <w:rsid w:val="4A8B0DFC"/>
    <w:rsid w:val="4CBF1C65"/>
    <w:rsid w:val="53591057"/>
    <w:rsid w:val="5CE53AFA"/>
    <w:rsid w:val="5FA92135"/>
    <w:rsid w:val="602B08B8"/>
    <w:rsid w:val="66DB501F"/>
    <w:rsid w:val="66F442CD"/>
    <w:rsid w:val="783C3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234</Characters>
  <Lines>21</Lines>
  <Paragraphs>6</Paragraphs>
  <TotalTime>176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张笑宁</cp:lastModifiedBy>
  <cp:lastPrinted>2023-01-30T02:04:00Z</cp:lastPrinted>
  <dcterms:modified xsi:type="dcterms:W3CDTF">2023-01-30T02:28:51Z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5A9AB53101E647E2ACA13FC157C5D264</vt:lpwstr>
  </property>
</Properties>
</file>