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DCFC9B">
      <w:pPr>
        <w:keepNext w:val="0"/>
        <w:keepLines w:val="0"/>
        <w:widowControl/>
        <w:suppressLineNumbers w:val="0"/>
        <w:tabs>
          <w:tab w:val="left" w:pos="2413"/>
          <w:tab w:val="center" w:pos="4243"/>
        </w:tabs>
        <w:spacing w:before="0" w:beforeAutospacing="0" w:after="0" w:afterAutospacing="0" w:line="760" w:lineRule="exact"/>
        <w:ind w:left="0" w:right="0" w:firstLine="1320" w:firstLineChars="300"/>
        <w:jc w:val="left"/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 w:bidi="ar"/>
        </w:rPr>
      </w:pPr>
    </w:p>
    <w:p w14:paraId="53FA94C3">
      <w:pPr>
        <w:keepNext w:val="0"/>
        <w:keepLines w:val="0"/>
        <w:widowControl/>
        <w:suppressLineNumbers w:val="0"/>
        <w:tabs>
          <w:tab w:val="left" w:pos="2413"/>
          <w:tab w:val="center" w:pos="4243"/>
        </w:tabs>
        <w:spacing w:before="0" w:beforeAutospacing="0" w:after="0" w:afterAutospacing="0" w:line="760" w:lineRule="exact"/>
        <w:ind w:left="0" w:right="0" w:firstLine="1320" w:firstLineChars="300"/>
        <w:jc w:val="left"/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 w:bidi="ar"/>
        </w:rPr>
      </w:pPr>
    </w:p>
    <w:p w14:paraId="734888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/>
          <w:bCs/>
          <w:sz w:val="48"/>
          <w:lang w:val="en-US" w:eastAsia="zh-CN"/>
        </w:rPr>
      </w:pPr>
      <w:bookmarkStart w:id="20" w:name="_GoBack"/>
      <w:r>
        <w:rPr>
          <w:rFonts w:hint="eastAsia" w:ascii="方正小标宋简体" w:hAnsi="方正小标宋简体" w:eastAsia="方正小标宋简体" w:cs="方正小标宋简体"/>
          <w:b/>
          <w:bCs/>
          <w:sz w:val="48"/>
          <w:lang w:val="en-US" w:eastAsia="zh-CN"/>
        </w:rPr>
        <w:t>吉林省政府采购网-框架协议采购专区</w:t>
      </w:r>
    </w:p>
    <w:p w14:paraId="3CC97A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/>
          <w:bCs/>
          <w:sz w:val="48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8"/>
          <w:lang w:val="en-US" w:eastAsia="zh-CN"/>
        </w:rPr>
        <w:t>采购人业务操作手册</w:t>
      </w:r>
      <w:bookmarkEnd w:id="20"/>
    </w:p>
    <w:p w14:paraId="3C57A44B">
      <w:pPr>
        <w:keepNext w:val="0"/>
        <w:keepLines w:val="0"/>
        <w:widowControl/>
        <w:suppressLineNumbers w:val="0"/>
        <w:spacing w:before="0" w:beforeAutospacing="0" w:after="0" w:afterAutospacing="0" w:line="7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 w:bidi="ar"/>
        </w:rPr>
        <w:t xml:space="preserve"> </w:t>
      </w:r>
    </w:p>
    <w:p w14:paraId="0D1DB893">
      <w:pPr>
        <w:keepNext w:val="0"/>
        <w:keepLines w:val="0"/>
        <w:widowControl/>
        <w:suppressLineNumbers w:val="0"/>
        <w:spacing w:before="0" w:beforeAutospacing="0" w:after="0" w:afterAutospacing="0" w:line="7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 w:bidi="ar"/>
        </w:rPr>
        <w:t xml:space="preserve"> </w:t>
      </w:r>
    </w:p>
    <w:p w14:paraId="4CB69F5A">
      <w:pPr>
        <w:keepNext w:val="0"/>
        <w:keepLines w:val="0"/>
        <w:widowControl/>
        <w:suppressLineNumbers w:val="0"/>
        <w:spacing w:before="0" w:beforeAutospacing="0" w:after="0" w:afterAutospacing="0" w:line="7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 w:bidi="ar"/>
        </w:rPr>
        <w:t xml:space="preserve"> </w:t>
      </w:r>
    </w:p>
    <w:p w14:paraId="7C358F5C">
      <w:pPr>
        <w:keepNext w:val="0"/>
        <w:keepLines w:val="0"/>
        <w:widowControl/>
        <w:suppressLineNumbers w:val="0"/>
        <w:spacing w:before="0" w:beforeAutospacing="0" w:after="0" w:afterAutospacing="0" w:line="7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 w:bidi="ar"/>
        </w:rPr>
        <w:t xml:space="preserve"> </w:t>
      </w:r>
    </w:p>
    <w:p w14:paraId="11FAF8A1">
      <w:pPr>
        <w:keepNext w:val="0"/>
        <w:keepLines w:val="0"/>
        <w:widowControl/>
        <w:suppressLineNumbers w:val="0"/>
        <w:spacing w:before="0" w:beforeAutospacing="0" w:after="0" w:afterAutospacing="0" w:line="7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 w:bidi="ar"/>
        </w:rPr>
        <w:t xml:space="preserve"> </w:t>
      </w:r>
    </w:p>
    <w:p w14:paraId="12106563">
      <w:pPr>
        <w:keepNext w:val="0"/>
        <w:keepLines w:val="0"/>
        <w:widowControl/>
        <w:suppressLineNumbers w:val="0"/>
        <w:spacing w:before="0" w:beforeAutospacing="0" w:after="0" w:afterAutospacing="0" w:line="7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 w:bidi="ar"/>
        </w:rPr>
        <w:t xml:space="preserve"> </w:t>
      </w:r>
    </w:p>
    <w:p w14:paraId="2450BAA9">
      <w:pPr>
        <w:keepNext w:val="0"/>
        <w:keepLines w:val="0"/>
        <w:widowControl/>
        <w:suppressLineNumbers w:val="0"/>
        <w:spacing w:before="0" w:beforeAutospacing="0" w:after="0" w:afterAutospacing="0" w:line="7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 w:bidi="ar"/>
        </w:rPr>
        <w:t xml:space="preserve"> </w:t>
      </w:r>
    </w:p>
    <w:p w14:paraId="7F5770B4">
      <w:pPr>
        <w:keepNext w:val="0"/>
        <w:keepLines w:val="0"/>
        <w:widowControl/>
        <w:suppressLineNumbers w:val="0"/>
        <w:spacing w:before="0" w:beforeAutospacing="0" w:after="0" w:afterAutospacing="0" w:line="7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 w:bidi="ar"/>
        </w:rPr>
      </w:pPr>
    </w:p>
    <w:p w14:paraId="4F54DA74">
      <w:pPr>
        <w:keepNext w:val="0"/>
        <w:keepLines w:val="0"/>
        <w:widowControl/>
        <w:suppressLineNumbers w:val="0"/>
        <w:spacing w:before="0" w:beforeAutospacing="0" w:after="0" w:afterAutospacing="0" w:line="7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 w:bidi="ar"/>
        </w:rPr>
      </w:pPr>
    </w:p>
    <w:p w14:paraId="72DB649A">
      <w:pPr>
        <w:keepNext w:val="0"/>
        <w:keepLines w:val="0"/>
        <w:widowControl/>
        <w:suppressLineNumbers w:val="0"/>
        <w:spacing w:before="0" w:beforeAutospacing="0" w:after="0" w:afterAutospacing="0" w:line="7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 w:bidi="ar"/>
        </w:rPr>
      </w:pPr>
    </w:p>
    <w:p w14:paraId="16FB1711">
      <w:pPr>
        <w:keepNext w:val="0"/>
        <w:keepLines w:val="0"/>
        <w:widowControl/>
        <w:suppressLineNumbers w:val="0"/>
        <w:spacing w:before="0" w:beforeAutospacing="0" w:after="0" w:afterAutospacing="0" w:line="760" w:lineRule="exact"/>
        <w:ind w:left="0" w:right="0"/>
        <w:jc w:val="center"/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 w:bidi="ar"/>
        </w:rPr>
        <w:t xml:space="preserve">  </w:t>
      </w:r>
    </w:p>
    <w:p w14:paraId="738412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/>
          <w:bCs/>
          <w:sz w:val="40"/>
          <w:szCs w:val="1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0"/>
          <w:szCs w:val="16"/>
          <w:lang w:val="en-US" w:eastAsia="zh-CN"/>
        </w:rPr>
        <w:t xml:space="preserve">2025年2月 </w:t>
      </w:r>
    </w:p>
    <w:p w14:paraId="492915A1">
      <w:pPr>
        <w:keepNext w:val="0"/>
        <w:keepLines w:val="0"/>
        <w:widowControl/>
        <w:suppressLineNumbers w:val="0"/>
        <w:spacing w:before="0" w:beforeAutospacing="0" w:after="0" w:afterAutospacing="0" w:line="760" w:lineRule="exact"/>
        <w:ind w:left="0" w:right="0"/>
        <w:jc w:val="both"/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 w:bidi="ar"/>
        </w:rPr>
        <w:t xml:space="preserve"> </w:t>
      </w:r>
    </w:p>
    <w:p w14:paraId="416D4537">
      <w:pPr>
        <w:keepNext w:val="0"/>
        <w:keepLines w:val="0"/>
        <w:widowControl/>
        <w:suppressLineNumbers w:val="0"/>
        <w:spacing w:before="0" w:beforeAutospacing="0" w:after="0" w:afterAutospacing="0" w:line="760" w:lineRule="exact"/>
        <w:ind w:left="0" w:right="0"/>
        <w:jc w:val="both"/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val="en-US" w:eastAsia="zh-CN" w:bidi="ar"/>
        </w:rPr>
      </w:pPr>
    </w:p>
    <w:p w14:paraId="2565EEC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firstLine="2200" w:firstLineChars="500"/>
        <w:jc w:val="both"/>
        <w:textAlignment w:val="auto"/>
        <w:outlineLvl w:val="0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sectPr>
          <w:footerReference r:id="rId3" w:type="default"/>
          <w:pgSz w:w="11907" w:h="16839"/>
          <w:pgMar w:top="1204" w:right="1769" w:bottom="1428" w:left="1771" w:header="922" w:footer="1234" w:gutter="0"/>
          <w:pgNumType w:fmt="decimal" w:start="1"/>
          <w:cols w:space="720" w:num="1"/>
        </w:sectPr>
      </w:pPr>
      <w:bookmarkStart w:id="0" w:name="_Toc28612"/>
    </w:p>
    <w:p w14:paraId="5BFEB6D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firstLine="2200" w:firstLineChars="500"/>
        <w:jc w:val="both"/>
        <w:textAlignment w:val="auto"/>
        <w:outlineLvl w:val="0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框架协议—直接选定</w:t>
      </w:r>
      <w:bookmarkEnd w:id="0"/>
    </w:p>
    <w:p w14:paraId="363633E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44"/>
          <w:szCs w:val="44"/>
          <w:lang w:val="en-US" w:eastAsia="zh-CN" w:bidi="ar"/>
        </w:rPr>
      </w:pPr>
    </w:p>
    <w:p w14:paraId="4E5A081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本指南主要阐述采购人在吉林省政府采购网-框架协议采购专区，框架协议采购“直接选定”方式的操作流程。 </w:t>
      </w:r>
    </w:p>
    <w:p w14:paraId="2AAB5CB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各预算单位通过吉林省预算管理一体化平台备案采购计划，待采购计划导入框架协议采购系统后进行第二阶段采购工作，各预算单位登陆吉林省政府采购网-框架协议采购专区（政采云平台）前台大厅，点击框架协议进入商品和供应商搜索界面，可以通过项目第一阶段商品名称或者入围供应商名称进行搜索，搜索完毕界面出现商品点击详情进行购买交易即可。各单位选择商品时需注意商品详情页内商品配置、参数和相关配件情况。</w:t>
      </w:r>
      <w:bookmarkStart w:id="1" w:name="OLE_LINK2"/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具体操作如下：</w:t>
      </w:r>
    </w:p>
    <w:bookmarkEnd w:id="1"/>
    <w:p w14:paraId="38FB327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0"/>
        <w:rPr>
          <w:rFonts w:hint="eastAsia" w:ascii="黑体" w:hAnsi="黑体" w:eastAsia="黑体" w:cs="黑体"/>
          <w:sz w:val="32"/>
          <w:szCs w:val="32"/>
        </w:rPr>
      </w:pPr>
      <w:bookmarkStart w:id="2" w:name="_Toc32337"/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一、操作准备</w:t>
      </w:r>
      <w:bookmarkEnd w:id="2"/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 w14:paraId="1E94B71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为了避免页面存在兼容性问题，建议使用谷歌Chrome </w:t>
      </w:r>
    </w:p>
    <w:p w14:paraId="5CC49FC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或360浏览器。在进行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电子卖场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模块操作前，需检查是否已关联好岗位，关联岗位后才可进行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采购计划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模块业务操作。关联岗位：登录账号——我的工作台——系统管理——成员管理——批量设置岗位/设置岗位——勾选对应岗位即可。（也可点击更多勾选对应业务板块工作内容）</w:t>
      </w:r>
    </w:p>
    <w:p w14:paraId="28D7EE6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footerReference r:id="rId4" w:type="default"/>
          <w:pgSz w:w="11907" w:h="16839"/>
          <w:pgMar w:top="2154" w:right="1531" w:bottom="2154" w:left="1531" w:header="922" w:footer="1234" w:gutter="0"/>
          <w:pgNumType w:fmt="decimal" w:start="1"/>
          <w:cols w:space="720" w:num="1"/>
        </w:sectPr>
      </w:pPr>
    </w:p>
    <w:p w14:paraId="6C03480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2548255"/>
            <wp:effectExtent l="0" t="0" r="6350" b="12065"/>
            <wp:docPr id="1" name="图片 1" descr="岗位权限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岗位权限配置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9E82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0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  <w:bookmarkStart w:id="3" w:name="_Toc19705"/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二、系统操作界面</w:t>
      </w:r>
      <w:bookmarkEnd w:id="3"/>
    </w:p>
    <w:p w14:paraId="02D95E2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备注：集采机构/代理机构操作框架协议第一阶段入围征集工作——框架协议开评标管理——发布入围结果公告——发布入围通知书——结果公示结束——供应商协议填报——框架协议签订——第二阶段框架协议采购（采购人进行3种方式采购，直接选定、顺序轮候、二次竞价；本指南为直接选定方式采购）。</w:t>
      </w:r>
    </w:p>
    <w:p w14:paraId="36626290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bookmarkStart w:id="4" w:name="_Toc5446"/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选购商品/供应商界面操作</w:t>
      </w:r>
      <w:bookmarkEnd w:id="4"/>
    </w:p>
    <w:p w14:paraId="55A8911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采购人需先登录吉林省政府采购网-框架协议专区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instrText xml:space="preserve"> HYPERLINK "http://www.ccgp-jilin.gov.cn/"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  <w:t>http://www.ccgp-jilin.gov.cn/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，在框架协议专区搜索需要的商品，点击查看供应商发布的商品信息。选择要购买的商品后，填写数量后点击立即下单按钮。</w:t>
      </w:r>
    </w:p>
    <w:p w14:paraId="11835C2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304155" cy="2402205"/>
            <wp:effectExtent l="0" t="0" r="14605" b="57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78BF0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bookmarkStart w:id="5" w:name="_Toc30213"/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采购人下单环节</w:t>
      </w:r>
      <w:bookmarkEnd w:id="5"/>
    </w:p>
    <w:p w14:paraId="5819BE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在下单页顶部可查看采购的整个交易流程，根据实际的采购信息进行填写，带“*”的为必填项。 填写完成后，点击右下角提交订单等待供应商接单即可</w:t>
      </w:r>
      <w:bookmarkStart w:id="6" w:name="OLE_LINK1"/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，界面内需要关联采购计划。</w:t>
      </w:r>
    </w:p>
    <w:p w14:paraId="08E4792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2548255"/>
            <wp:effectExtent l="0" t="0" r="6350" b="12065"/>
            <wp:docPr id="12" name="图片 12" descr="框架直购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框架直购1.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B2E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 w14:paraId="697F50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 w14:paraId="332B0C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 w14:paraId="1DF6BA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 w14:paraId="5286AE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 w14:paraId="608341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</w:p>
    <w:p w14:paraId="6FDA74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下单界面需要关联采购计划，关联完毕即可提交订单，未关联无法提交订单。</w:t>
      </w:r>
    </w:p>
    <w:p w14:paraId="5B1898B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300980" cy="2320925"/>
            <wp:effectExtent l="0" t="0" r="2540" b="1079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14:paraId="496E79F4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楷体_GB2312" w:hAnsi="楷体_GB2312" w:eastAsia="楷体_GB2312" w:cs="楷体_GB2312"/>
          <w:lang w:val="en-US" w:eastAsia="zh-CN"/>
        </w:rPr>
      </w:pPr>
    </w:p>
    <w:p w14:paraId="3039DF9A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bookmarkStart w:id="7" w:name="_Toc25474"/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订单管理</w:t>
      </w:r>
      <w:bookmarkEnd w:id="7"/>
    </w:p>
    <w:p w14:paraId="2CA2F9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已提交的订单在电子卖场——订单管理中查看。</w:t>
      </w:r>
    </w:p>
    <w:p w14:paraId="469EFD89">
      <w:pPr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drawing>
          <wp:inline distT="0" distB="0" distL="114300" distR="114300">
            <wp:extent cx="5266690" cy="1643380"/>
            <wp:effectExtent l="0" t="0" r="6350" b="2540"/>
            <wp:docPr id="13" name="图片 13" descr="框架直购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框架直购1.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BFE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可在订单详情中查看该订单的进程和整体流程。</w:t>
      </w:r>
    </w:p>
    <w:p w14:paraId="71489D32">
      <w:pPr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drawing>
          <wp:inline distT="0" distB="0" distL="114300" distR="114300">
            <wp:extent cx="5266690" cy="2562225"/>
            <wp:effectExtent l="0" t="0" r="6350" b="13335"/>
            <wp:docPr id="14" name="图片 14" descr="框架直购1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框架直购1.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A96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255456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>供应商接单发货后采购单位收货验收即可。</w:t>
      </w:r>
    </w:p>
    <w:p w14:paraId="1554D7C0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1889760"/>
            <wp:effectExtent l="0" t="0" r="6350" b="0"/>
            <wp:docPr id="15" name="图片 15" descr="框架直购1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框架直购1.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6F65A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803910"/>
            <wp:effectExtent l="0" t="0" r="6350" b="3810"/>
            <wp:docPr id="16" name="图片 16" descr="框架直购1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框架直购1.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7943F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5DB802F5"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bookmarkStart w:id="8" w:name="_Toc30157"/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订单</w:t>
      </w:r>
      <w:bookmarkEnd w:id="8"/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结算与履约</w:t>
      </w:r>
    </w:p>
    <w:p w14:paraId="59F94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未通过验收可取消订单或退换货，通过验收点击去结算生成结算单。</w:t>
      </w:r>
    </w:p>
    <w:p w14:paraId="37436250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1835150"/>
            <wp:effectExtent l="0" t="0" r="6350" b="8890"/>
            <wp:docPr id="17" name="图片 17" descr="框架直购1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框架直购1.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6F4D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40" w:line="560" w:lineRule="exact"/>
        <w:ind w:right="74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</w:p>
    <w:p w14:paraId="37CBF26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40" w:line="560" w:lineRule="exact"/>
        <w:ind w:right="74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</w:p>
    <w:p w14:paraId="748C35D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40" w:line="560" w:lineRule="exact"/>
        <w:ind w:right="74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</w:p>
    <w:p w14:paraId="4FBBFA9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40" w:line="560" w:lineRule="exact"/>
        <w:ind w:right="74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</w:p>
    <w:p w14:paraId="444F6C4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40" w:line="560" w:lineRule="exact"/>
        <w:ind w:right="74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供应商接单后双方需要签订采购合同，点击订单内合同板块起草合同签订即可，签订完成需要合同备案。</w:t>
      </w:r>
    </w:p>
    <w:p w14:paraId="39AE2A65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761707DC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1917700"/>
            <wp:effectExtent l="0" t="0" r="6350" b="2540"/>
            <wp:docPr id="19" name="图片 19" descr="框架直购1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框架直购1.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2D6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结算后交易完成。</w:t>
      </w:r>
    </w:p>
    <w:p w14:paraId="5F98C98B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114300</wp:posOffset>
            </wp:positionV>
            <wp:extent cx="5266690" cy="1184910"/>
            <wp:effectExtent l="0" t="0" r="6350" b="3810"/>
            <wp:wrapTopAndBottom/>
            <wp:docPr id="18" name="图片 18" descr="框架直购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框架直购1.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D12BAE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56615218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6A9A3068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6E380FF7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6B7502AE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397AA743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1B66847E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1D0BB047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74548181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1C0EE1CE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4EF67988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346323CB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1C4DBDC2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7894E3CB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36E16AE7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7FE5838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kern w:val="0"/>
          <w:sz w:val="44"/>
          <w:szCs w:val="44"/>
          <w:lang w:val="en-US" w:eastAsia="zh-CN" w:bidi="ar"/>
        </w:rPr>
      </w:pPr>
      <w:bookmarkStart w:id="9" w:name="_Toc20692"/>
      <w:r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kern w:val="0"/>
          <w:sz w:val="44"/>
          <w:szCs w:val="44"/>
          <w:lang w:val="en-US" w:eastAsia="zh-CN" w:bidi="ar"/>
        </w:rPr>
        <w:t>框架协议-顺序轮候</w:t>
      </w:r>
      <w:bookmarkEnd w:id="9"/>
    </w:p>
    <w:p w14:paraId="23A91F1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outlineLvl w:val="0"/>
        <w:rPr>
          <w:rFonts w:hint="eastAsia" w:ascii="方正小标宋简体" w:hAnsi="方正小标宋简体" w:eastAsia="方正小标宋简体" w:cs="方正小标宋简体"/>
          <w:b w:val="0"/>
          <w:bCs/>
          <w:color w:val="000000"/>
          <w:kern w:val="0"/>
          <w:sz w:val="44"/>
          <w:szCs w:val="44"/>
          <w:lang w:val="en-US" w:eastAsia="zh-CN" w:bidi="ar"/>
        </w:rPr>
      </w:pPr>
    </w:p>
    <w:p w14:paraId="48FD311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bookmarkStart w:id="10" w:name="_Toc25463"/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本指南主要阐述采购人在吉林省政府采购网-框架协议采购专区，框架协议采购“顺序轮候”方式的操作流程。 </w:t>
      </w:r>
    </w:p>
    <w:p w14:paraId="211F836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各预算单位通过吉林省预算管理一体化平台备案采购计划，待采购计划导入框架协议采购系统后进行第二阶段采购工作，各预算单位登陆吉林省政府采购网-框架协议采购专区（政采云平台）前台大厅，点击框架协议进入商品和供应商搜索界面，可以通过项目第一阶段商品名称或者入围供应商名称进行搜索，搜索完毕界面出现商品点击详情进行购买交易即可。各单位选择商品时需注意商品详情页内商品配置、参数和相关配件情况。具体操作如下：</w:t>
      </w:r>
    </w:p>
    <w:p w14:paraId="2CFB3ED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0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一、操作准备</w:t>
      </w:r>
      <w:bookmarkEnd w:id="10"/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ab/>
      </w:r>
    </w:p>
    <w:p w14:paraId="4F487DA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为了避免页面存在兼容性问题，建议使用谷歌 Chrome 或 360 浏览器。在进行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"/>
        </w:rPr>
        <w:t>公告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模块操作前，需检查是否已关联好岗位，关联岗位后才可进行公告模块业务操作。关联岗位：登录账号——我的工作台——系统管理——成员管理——批量设置岗位/设置岗位——勾选对应岗位即可。（也可点击更多勾选对应业务板块工作内容）</w:t>
      </w:r>
    </w:p>
    <w:p w14:paraId="54F95DF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</w:p>
    <w:p w14:paraId="5CFDA66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</w:p>
    <w:p w14:paraId="7DDBEDB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38735</wp:posOffset>
            </wp:positionV>
            <wp:extent cx="5316855" cy="2987675"/>
            <wp:effectExtent l="0" t="0" r="1905" b="14605"/>
            <wp:wrapSquare wrapText="bothSides"/>
            <wp:docPr id="2" name="图片 2" descr="1CEA8565-6C32-43b1-9A16-7081B7127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CEA8565-6C32-43b1-9A16-7081B712790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BF3CF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0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  <w:bookmarkStart w:id="11" w:name="_Toc29715"/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二、系统操作界面</w:t>
      </w:r>
      <w:bookmarkEnd w:id="11"/>
    </w:p>
    <w:p w14:paraId="5B3BEAC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备注：集采机构/代理机构操作框架协议第一阶段入围征集工作——框架协议开评标管理——发布入围结果公告——发布入围通知书——结果公示结束——供应商协议填报——框架协议签订——第二阶段框架协议采购（采购人进行3种方式采购，直接选定、顺序轮候、二次竞价；本指南为顺序轮候方式采购）。</w:t>
      </w:r>
    </w:p>
    <w:p w14:paraId="39E8F4DD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bookmarkStart w:id="12" w:name="_Toc3491"/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（一）创建顺序轮候单</w:t>
      </w:r>
      <w:bookmarkEnd w:id="12"/>
    </w:p>
    <w:p w14:paraId="77BB3BB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创建顺序轮候单有2个路径：一个是从框架协议专区发起顺序轮候；另一个从电子卖场订单管理发起顺序轮候。</w:t>
      </w:r>
    </w:p>
    <w:p w14:paraId="45201860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1、前台大厅发起顺序轮候</w:t>
      </w:r>
    </w:p>
    <w:p w14:paraId="1114D81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前台大厅——框架协议——发起顺序轮候——采购人需先登录吉林省政府采购网框架协议专区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instrText xml:space="preserve"> HYPERLINK "http://www.ccgp-jilin.gov.cn/" </w:instrTex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fldChar w:fldCharType="separate"/>
      </w:r>
      <w:r>
        <w:rPr>
          <w:rStyle w:val="7"/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"/>
        </w:rPr>
        <w:t>http://www.ccgp-jilin.gov.cn/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fldChar w:fldCharType="end"/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，在框架协议专区搜索需要的商品，点击右上角“顺序轮候”，发起顺序轮候。点击“商品大厅”。选择具体商品，选择供货商，点击“发起顺序轮候”。</w:t>
      </w:r>
    </w:p>
    <w:p w14:paraId="7EA91F22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100965</wp:posOffset>
            </wp:positionV>
            <wp:extent cx="5311140" cy="3044190"/>
            <wp:effectExtent l="0" t="0" r="7620" b="3810"/>
            <wp:wrapTight wrapText="bothSides">
              <wp:wrapPolygon>
                <wp:start x="0" y="0"/>
                <wp:lineTo x="0" y="21519"/>
                <wp:lineTo x="21569" y="21519"/>
                <wp:lineTo x="21569" y="0"/>
                <wp:lineTo x="0" y="0"/>
              </wp:wrapPolygon>
            </wp:wrapTight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color w:val="000000"/>
          <w:kern w:val="0"/>
          <w:sz w:val="32"/>
          <w:szCs w:val="32"/>
          <w:lang w:val="en-US" w:eastAsia="zh-CN" w:bidi="ar"/>
        </w:rPr>
        <w:t>2、电子卖场发起顺序轮候</w:t>
      </w:r>
    </w:p>
    <w:p w14:paraId="7F70575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1168400</wp:posOffset>
            </wp:positionV>
            <wp:extent cx="5303520" cy="2212340"/>
            <wp:effectExtent l="0" t="0" r="0" b="12700"/>
            <wp:wrapTight wrapText="bothSides">
              <wp:wrapPolygon>
                <wp:start x="0" y="0"/>
                <wp:lineTo x="0" y="21426"/>
                <wp:lineTo x="21538" y="21426"/>
                <wp:lineTo x="21538" y="0"/>
                <wp:lineTo x="0" y="0"/>
              </wp:wrapPolygon>
            </wp:wrapTight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菜单路径：电子卖场-顺序轮候-新建顺序轮候。</w:t>
      </w:r>
    </w:p>
    <w:p w14:paraId="6ED069C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</w:p>
    <w:p w14:paraId="02CFF65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</w:p>
    <w:p w14:paraId="2D6B045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7620</wp:posOffset>
            </wp:positionV>
            <wp:extent cx="5307330" cy="3560445"/>
            <wp:effectExtent l="0" t="0" r="11430" b="5715"/>
            <wp:wrapTight wrapText="bothSides">
              <wp:wrapPolygon>
                <wp:start x="0" y="0"/>
                <wp:lineTo x="0" y="21542"/>
                <wp:lineTo x="21522" y="21542"/>
                <wp:lineTo x="21522" y="0"/>
                <wp:lineTo x="0" y="0"/>
              </wp:wrapPolygon>
            </wp:wrapTight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56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采购需求清单处，选择对应标项。</w:t>
      </w:r>
    </w:p>
    <w:p w14:paraId="450D707B">
      <w:pPr>
        <w:spacing w:line="240" w:lineRule="auto"/>
        <w:ind w:firstLine="0"/>
        <w:rPr>
          <w:rFonts w:hint="eastAsia" w:ascii="仿宋_GB2312" w:hAnsi="仿宋_GB2312" w:eastAsia="仿宋_GB2312" w:cs="仿宋_GB2312"/>
        </w:rPr>
        <w:sectPr>
          <w:footerReference r:id="rId5" w:type="default"/>
          <w:pgSz w:w="11907" w:h="16839"/>
          <w:pgMar w:top="1204" w:right="1769" w:bottom="1428" w:left="1771" w:header="922" w:footer="1234" w:gutter="0"/>
          <w:pgNumType w:fmt="decimal"/>
          <w:cols w:space="720" w:num="1"/>
        </w:sectPr>
      </w:pPr>
      <w:r>
        <w:rPr>
          <w:rFonts w:hint="eastAsia" w:ascii="仿宋_GB2312" w:hAnsi="仿宋_GB2312" w:eastAsia="仿宋_GB2312" w:cs="仿宋_GB231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2811145</wp:posOffset>
            </wp:positionV>
            <wp:extent cx="5332095" cy="2774950"/>
            <wp:effectExtent l="0" t="0" r="1905" b="44450"/>
            <wp:wrapTight wrapText="bothSides">
              <wp:wrapPolygon>
                <wp:start x="0" y="0"/>
                <wp:lineTo x="0" y="21471"/>
                <wp:lineTo x="21546" y="21471"/>
                <wp:lineTo x="21546" y="0"/>
                <wp:lineTo x="0" y="0"/>
              </wp:wrapPolygon>
            </wp:wrapTight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311140" cy="2259965"/>
            <wp:effectExtent l="0" t="0" r="7620" b="1079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7C45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40" w:line="760" w:lineRule="exact"/>
        <w:ind w:right="74" w:firstLine="640" w:firstLineChars="200"/>
        <w:textAlignment w:val="baseline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2874010</wp:posOffset>
            </wp:positionV>
            <wp:extent cx="5327650" cy="2139315"/>
            <wp:effectExtent l="0" t="0" r="6350" b="9525"/>
            <wp:wrapTight wrapText="bothSides">
              <wp:wrapPolygon>
                <wp:start x="0" y="0"/>
                <wp:lineTo x="0" y="21388"/>
                <wp:lineTo x="21564" y="21388"/>
                <wp:lineTo x="21564" y="0"/>
                <wp:lineTo x="0" y="0"/>
              </wp:wrapPolygon>
            </wp:wrapTight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142240</wp:posOffset>
            </wp:positionV>
            <wp:extent cx="5330825" cy="2257425"/>
            <wp:effectExtent l="0" t="0" r="3175" b="13335"/>
            <wp:wrapTight wrapText="bothSides">
              <wp:wrapPolygon>
                <wp:start x="0" y="0"/>
                <wp:lineTo x="0" y="21436"/>
                <wp:lineTo x="21551" y="21436"/>
                <wp:lineTo x="21551" y="0"/>
                <wp:lineTo x="0" y="0"/>
              </wp:wrapPolygon>
            </wp:wrapTight>
            <wp:docPr id="2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9B4A8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40" w:line="560" w:lineRule="exact"/>
        <w:ind w:right="74" w:firstLine="640" w:firstLineChars="200"/>
        <w:textAlignment w:val="baseline"/>
        <w:rPr>
          <w:rFonts w:hint="eastAsia" w:ascii="仿宋_GB2312" w:hAnsi="仿宋_GB2312" w:eastAsia="仿宋_GB2312" w:cs="仿宋_GB2312"/>
          <w:spacing w:val="-1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选择标项后 ，该标项入围的供应商会自动显示，勾选好点击“确定”。页面上方有对顺序轮候的相关说明。</w:t>
      </w:r>
      <w:r>
        <w:rPr>
          <w:rFonts w:hint="eastAsia" w:ascii="仿宋_GB2312" w:hAnsi="仿宋_GB2312" w:eastAsia="仿宋_GB2312" w:cs="仿宋_GB2312"/>
          <w:sz w:val="32"/>
          <w:szCs w:val="32"/>
        </w:rPr>
        <w:t>提交之后，页面出现，顺序轮候完成，点击</w:t>
      </w:r>
      <w:r>
        <w:rPr>
          <w:rFonts w:hint="eastAsia" w:ascii="仿宋_GB2312" w:hAnsi="仿宋_GB2312" w:eastAsia="仿宋_GB2312" w:cs="仿宋_GB2312"/>
          <w:spacing w:val="-1"/>
          <w:sz w:val="32"/>
          <w:szCs w:val="32"/>
        </w:rPr>
        <w:t>“确定”。</w:t>
      </w:r>
    </w:p>
    <w:p w14:paraId="3B78A6FA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20" w:firstLineChars="100"/>
        <w:jc w:val="lef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bookmarkStart w:id="13" w:name="_Toc12283"/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（二）系统自动顺序轮候供应商进行接单</w:t>
      </w:r>
      <w:bookmarkEnd w:id="13"/>
    </w:p>
    <w:p w14:paraId="339006A0">
      <w:pPr>
        <w:spacing w:before="40" w:line="3300" w:lineRule="exact"/>
        <w:ind w:firstLine="28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position w:val="-66"/>
          <w:lang w:val="en-US" w:eastAsia="zh-CN"/>
        </w:rPr>
        <w:t xml:space="preserve">             </w:t>
      </w:r>
      <w:r>
        <w:rPr>
          <w:rFonts w:hint="eastAsia" w:ascii="仿宋_GB2312" w:hAnsi="仿宋_GB2312" w:eastAsia="仿宋_GB2312" w:cs="仿宋_GB2312"/>
          <w:position w:val="-66"/>
        </w:rPr>
        <w:drawing>
          <wp:inline distT="0" distB="0" distL="0" distR="0">
            <wp:extent cx="3524885" cy="2095500"/>
            <wp:effectExtent l="0" t="0" r="10795" b="7620"/>
            <wp:docPr id="496" name="IM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 49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25011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526D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40" w:line="560" w:lineRule="exact"/>
        <w:ind w:right="74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该标项对应的顺序分配的供应商以及商品信息都会展示出来，选择履约供货商下单即可生成订单进行履约工作。</w:t>
      </w:r>
    </w:p>
    <w:p w14:paraId="046E0636">
      <w:pPr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bookmarkStart w:id="14" w:name="_Toc18506"/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订单结算与履约</w:t>
      </w:r>
      <w:bookmarkEnd w:id="14"/>
    </w:p>
    <w:p w14:paraId="01D2B0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在下单页顶部可查看采购的整个交易流程，根据实际的采购信息进行填写，带“*”的为必填项。 填写完成后，点击右下角提交订单等待供应商接单即可，界面内需要关联采购计划。</w:t>
      </w:r>
    </w:p>
    <w:p w14:paraId="695661B1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2548255"/>
            <wp:effectExtent l="0" t="0" r="6350" b="12065"/>
            <wp:docPr id="23" name="图片 23" descr="框架直购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框架直购1.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7BD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下单界面需要关联采购计划，关联完毕即可提交订单，未关联无法提交订单。</w:t>
      </w:r>
    </w:p>
    <w:p w14:paraId="107B0645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</w:rPr>
        <w:drawing>
          <wp:inline distT="0" distB="0" distL="114300" distR="114300">
            <wp:extent cx="5300980" cy="2320925"/>
            <wp:effectExtent l="0" t="0" r="2540" b="10795"/>
            <wp:docPr id="2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F4E08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</w:rPr>
      </w:pPr>
    </w:p>
    <w:p w14:paraId="12861D2F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</w:rPr>
      </w:pPr>
    </w:p>
    <w:p w14:paraId="7138BA8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outlineLvl w:val="1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</w:p>
    <w:p w14:paraId="0B097D9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40" w:line="560" w:lineRule="exact"/>
        <w:ind w:right="74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已提交的订单在电子卖场——订单管理中查看。</w:t>
      </w:r>
    </w:p>
    <w:p w14:paraId="4EE5B6C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40" w:line="560" w:lineRule="exact"/>
        <w:ind w:right="74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</w:p>
    <w:p w14:paraId="263E37A7">
      <w:pPr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drawing>
          <wp:inline distT="0" distB="0" distL="114300" distR="114300">
            <wp:extent cx="5266690" cy="1879600"/>
            <wp:effectExtent l="0" t="0" r="6350" b="10160"/>
            <wp:docPr id="3" name="图片 3" descr="框架直购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框架直购1.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4BC0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40" w:line="560" w:lineRule="exact"/>
        <w:ind w:right="74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可在订单详情中查看该订单的进程和整体流程。</w:t>
      </w:r>
    </w:p>
    <w:p w14:paraId="7EE54A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hanging="630" w:hangingChars="300"/>
        <w:textAlignment w:val="auto"/>
        <w:rPr>
          <w:rFonts w:hint="eastAsia" w:ascii="仿宋_GB2312" w:hAnsi="仿宋_GB2312" w:eastAsia="仿宋_GB2312" w:cs="仿宋_GB2312"/>
          <w:lang w:eastAsia="zh-CN"/>
        </w:rPr>
      </w:pPr>
      <w:r>
        <w:rPr>
          <w:rFonts w:hint="eastAsia" w:ascii="仿宋_GB2312" w:hAnsi="仿宋_GB2312" w:eastAsia="仿宋_GB2312" w:cs="仿宋_GB231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289560</wp:posOffset>
            </wp:positionV>
            <wp:extent cx="5266690" cy="2562225"/>
            <wp:effectExtent l="0" t="0" r="6350" b="13335"/>
            <wp:wrapSquare wrapText="bothSides"/>
            <wp:docPr id="4" name="图片 4" descr="框架直购1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框架直购1.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3BE4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hanging="630" w:hangingChars="300"/>
        <w:textAlignment w:val="auto"/>
        <w:rPr>
          <w:rFonts w:hint="eastAsia" w:ascii="仿宋_GB2312" w:hAnsi="仿宋_GB2312" w:eastAsia="仿宋_GB2312" w:cs="仿宋_GB2312"/>
          <w:lang w:eastAsia="zh-CN"/>
        </w:rPr>
      </w:pPr>
    </w:p>
    <w:p w14:paraId="36FA68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hanging="630" w:hangingChars="300"/>
        <w:textAlignment w:val="auto"/>
        <w:rPr>
          <w:rFonts w:hint="eastAsia" w:ascii="仿宋_GB2312" w:hAnsi="仿宋_GB2312" w:eastAsia="仿宋_GB2312" w:cs="仿宋_GB2312"/>
          <w:lang w:eastAsia="zh-CN"/>
        </w:rPr>
      </w:pPr>
    </w:p>
    <w:p w14:paraId="22630C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hanging="630" w:hangingChars="300"/>
        <w:textAlignment w:val="auto"/>
        <w:rPr>
          <w:rFonts w:hint="eastAsia" w:ascii="仿宋_GB2312" w:hAnsi="仿宋_GB2312" w:eastAsia="仿宋_GB2312" w:cs="仿宋_GB2312"/>
          <w:lang w:eastAsia="zh-CN"/>
        </w:rPr>
      </w:pPr>
    </w:p>
    <w:p w14:paraId="7CB6C2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hanging="630" w:hangingChars="300"/>
        <w:textAlignment w:val="auto"/>
        <w:rPr>
          <w:rFonts w:hint="eastAsia" w:ascii="仿宋_GB2312" w:hAnsi="仿宋_GB2312" w:eastAsia="仿宋_GB2312" w:cs="仿宋_GB2312"/>
          <w:lang w:eastAsia="zh-CN"/>
        </w:rPr>
      </w:pPr>
    </w:p>
    <w:p w14:paraId="5B9FA0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hanging="630" w:hangingChars="300"/>
        <w:textAlignment w:val="auto"/>
        <w:rPr>
          <w:rFonts w:hint="eastAsia" w:ascii="仿宋_GB2312" w:hAnsi="仿宋_GB2312" w:eastAsia="仿宋_GB2312" w:cs="仿宋_GB2312"/>
          <w:lang w:eastAsia="zh-CN"/>
        </w:rPr>
      </w:pPr>
    </w:p>
    <w:p w14:paraId="1210F7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lang w:eastAsia="zh-CN"/>
        </w:rPr>
      </w:pPr>
    </w:p>
    <w:p w14:paraId="0FEDD1D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40" w:line="560" w:lineRule="exact"/>
        <w:ind w:right="74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供应商接单发货后采购单位收货验收即可。</w:t>
      </w:r>
    </w:p>
    <w:p w14:paraId="25CDCA6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40" w:line="560" w:lineRule="exact"/>
        <w:ind w:right="74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</w:p>
    <w:p w14:paraId="357C338D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2476500"/>
            <wp:effectExtent l="0" t="0" r="6350" b="7620"/>
            <wp:docPr id="5" name="图片 5" descr="框架直购1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框架直购1.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CC5B0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5C1C96E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40" w:line="560" w:lineRule="exact"/>
        <w:ind w:right="74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未通过验收可取消订单或退换货，通过验收点击去结算生成结算单。</w:t>
      </w:r>
    </w:p>
    <w:p w14:paraId="4151F41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40" w:line="560" w:lineRule="exact"/>
        <w:ind w:right="74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</w:p>
    <w:p w14:paraId="40DA4914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sectPr>
          <w:footerReference r:id="rId6" w:type="default"/>
          <w:pgSz w:w="11907" w:h="16839"/>
          <w:pgMar w:top="1204" w:right="1769" w:bottom="1428" w:left="1771" w:header="922" w:footer="1234" w:gutter="0"/>
          <w:pgNumType w:fmt="decimal"/>
          <w:cols w:space="720" w:num="1"/>
        </w:sect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-266700</wp:posOffset>
            </wp:positionV>
            <wp:extent cx="5266690" cy="1835150"/>
            <wp:effectExtent l="0" t="0" r="6350" b="8890"/>
            <wp:wrapTight wrapText="bothSides">
              <wp:wrapPolygon>
                <wp:start x="0" y="0"/>
                <wp:lineTo x="0" y="21346"/>
                <wp:lineTo x="21564" y="21346"/>
                <wp:lineTo x="21564" y="0"/>
                <wp:lineTo x="0" y="0"/>
              </wp:wrapPolygon>
            </wp:wrapTight>
            <wp:docPr id="7" name="图片 7" descr="框架直购1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框架直购1.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F6AB3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40" w:line="560" w:lineRule="exact"/>
        <w:ind w:right="74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供应商接单后双方需要签订采购合同，点击订单内合同板块起草合同签订即可，签订完成需要合同备案。</w:t>
      </w:r>
    </w:p>
    <w:p w14:paraId="197B21B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40" w:line="560" w:lineRule="exact"/>
        <w:ind w:right="74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182880</wp:posOffset>
            </wp:positionV>
            <wp:extent cx="5266690" cy="1917700"/>
            <wp:effectExtent l="0" t="0" r="6350" b="2540"/>
            <wp:wrapTight wrapText="bothSides">
              <wp:wrapPolygon>
                <wp:start x="0" y="0"/>
                <wp:lineTo x="0" y="21457"/>
                <wp:lineTo x="21564" y="21457"/>
                <wp:lineTo x="21564" y="0"/>
                <wp:lineTo x="0" y="0"/>
              </wp:wrapPolygon>
            </wp:wrapTight>
            <wp:docPr id="8" name="图片 8" descr="框架直购1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框架直购1.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结算后交易完成。</w:t>
      </w:r>
    </w:p>
    <w:p w14:paraId="619A112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40" w:line="760" w:lineRule="exact"/>
        <w:ind w:right="74" w:firstLine="640" w:firstLineChars="200"/>
        <w:textAlignment w:val="baseline"/>
        <w:rPr>
          <w:rFonts w:hint="eastAsia" w:ascii="仿宋_GB2312" w:hAnsi="仿宋_GB2312" w:eastAsia="仿宋_GB2312" w:cs="仿宋_GB2312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350520</wp:posOffset>
            </wp:positionV>
            <wp:extent cx="5266690" cy="1086485"/>
            <wp:effectExtent l="0" t="0" r="6350" b="10795"/>
            <wp:wrapTight wrapText="bothSides">
              <wp:wrapPolygon>
                <wp:start x="0" y="0"/>
                <wp:lineTo x="0" y="21209"/>
                <wp:lineTo x="21564" y="21209"/>
                <wp:lineTo x="21564" y="0"/>
                <wp:lineTo x="0" y="0"/>
              </wp:wrapPolygon>
            </wp:wrapTight>
            <wp:docPr id="9" name="图片 9" descr="框架直购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框架直购1.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D487E3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6B0340A4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375532E6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6FC0389A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0B799741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15D4B52A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6C86747E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5956F4C2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5C063AE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ind w:firstLine="2200" w:firstLineChars="500"/>
        <w:jc w:val="both"/>
        <w:textAlignment w:val="auto"/>
        <w:outlineLvl w:val="0"/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</w:pPr>
      <w:bookmarkStart w:id="15" w:name="_Toc23562"/>
      <w:r>
        <w:rPr>
          <w:rFonts w:hint="eastAsia" w:ascii="方正小标宋简体" w:hAnsi="方正小标宋简体" w:eastAsia="方正小标宋简体" w:cs="方正小标宋简体"/>
          <w:color w:val="000000"/>
          <w:kern w:val="0"/>
          <w:sz w:val="44"/>
          <w:szCs w:val="44"/>
          <w:lang w:val="en-US" w:eastAsia="zh-CN" w:bidi="ar"/>
        </w:rPr>
        <w:t>框架协议-二次竞价</w:t>
      </w:r>
      <w:bookmarkEnd w:id="15"/>
    </w:p>
    <w:p w14:paraId="67C3639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760" w:lineRule="exact"/>
        <w:jc w:val="center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44"/>
          <w:szCs w:val="44"/>
          <w:lang w:val="en-US" w:eastAsia="zh-CN" w:bidi="ar"/>
        </w:rPr>
      </w:pPr>
    </w:p>
    <w:p w14:paraId="4C3761B3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bookmarkStart w:id="16" w:name="_Toc15031"/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本指南主要阐述采购人在吉林省政府采购网-框架协议采购专区，框架协议采购“二次竞价”方式的操作流程。 </w:t>
      </w:r>
    </w:p>
    <w:p w14:paraId="5F7FC3F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highlight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各预算单位通过吉林省预算管理一体化平台备案采购计划，待采购计划导入框架协议采购系统后进行第二阶段采购工作，各预算单位登陆吉林省政府采购网-框架协议采购专区（政采云平台）前台大厅，点击框架协议进入商品和供应商搜索界面，可以通过项目第一阶段商品名称或者入围供应商名称进行搜索，搜索完毕界面出现商品点击详情进行购买交易即可。各单位选择商品时需注意商品详情页内商品配置、参数和相关配件情况。具体操作如下：</w:t>
      </w:r>
    </w:p>
    <w:p w14:paraId="1B4F426E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一、操作准备</w:t>
      </w:r>
      <w:bookmarkEnd w:id="16"/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 w14:paraId="6A4FDC5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 xml:space="preserve">为了避免页面存在兼容性问题，建议使用谷歌Chrome </w:t>
      </w:r>
    </w:p>
    <w:p w14:paraId="1307ABC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或360浏览器。在进行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电子卖场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模块操作前，需检查是否已关联好岗位，关联岗位后才可进行</w:t>
      </w:r>
      <w:r>
        <w:rPr>
          <w:rFonts w:hint="eastAsia" w:ascii="仿宋_GB2312" w:hAnsi="仿宋_GB2312" w:eastAsia="仿宋_GB2312" w:cs="仿宋_GB2312"/>
          <w:color w:val="auto"/>
          <w:kern w:val="0"/>
          <w:sz w:val="32"/>
          <w:szCs w:val="32"/>
          <w:lang w:val="en-US" w:eastAsia="zh-CN" w:bidi="ar"/>
        </w:rPr>
        <w:t>采购计划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模块业务操作。关联岗位：登录账号——我的工作台——系统管理——成员管理——批量设置岗位/设置岗位——勾选对应岗位即可。（也可点击更多勾选对应业务板块工作内容）</w:t>
      </w:r>
    </w:p>
    <w:p w14:paraId="2543D1A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2548255"/>
            <wp:effectExtent l="0" t="0" r="6350" b="12065"/>
            <wp:docPr id="43" name="图片 43" descr="岗位权限配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岗位权限配置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87FEC">
      <w:pPr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0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</w:pPr>
      <w:bookmarkStart w:id="17" w:name="_Toc275"/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 w:bidi="ar"/>
        </w:rPr>
        <w:t>系统操作界面</w:t>
      </w:r>
      <w:bookmarkEnd w:id="17"/>
    </w:p>
    <w:p w14:paraId="074E322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备注：集采机构/代理机构操作框架协议第一阶段入围征集工作——框架协议开评标管理——发布入围结果公告——发布入围通知书——结果公示结束——供应商协议填报——框架协议签订——第二阶段框架协议采购（采购人进行3种方式采购，直接选定、顺序轮候、二次竞价；本指南为二次竞价方式采购）。</w:t>
      </w:r>
    </w:p>
    <w:p w14:paraId="28577E59">
      <w:pPr>
        <w:keepNext w:val="0"/>
        <w:keepLines w:val="0"/>
        <w:pageBreakBefore w:val="0"/>
        <w:widowControl/>
        <w:numPr>
          <w:ilvl w:val="0"/>
          <w:numId w:val="4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bookmarkStart w:id="18" w:name="_Toc13888"/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创建竞价单</w:t>
      </w:r>
      <w:bookmarkEnd w:id="18"/>
    </w:p>
    <w:p w14:paraId="5BAA26E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菜单路径：应用中心—电子卖场—竞价管理-新建竞价单-框架协议-二次竞价，选择完成后点击确定，进入竞价单页面。</w:t>
      </w:r>
    </w:p>
    <w:p w14:paraId="280A892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2562225"/>
            <wp:effectExtent l="0" t="0" r="6350" b="13335"/>
            <wp:docPr id="44" name="图片 44" descr="二次竞价1.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二次竞价1.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093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下单页顶部可查看二次竞价的整个交易流程，根据实际的采购信息填写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zh-CN" w:eastAsia="zh-CN" w:bidi="ar-SA"/>
        </w:rPr>
        <w:t>基本信息、采购需求清单、竞价成交规则、商务要求等信息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，带“*”的为必填项，</w:t>
      </w: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zh-CN" w:eastAsia="zh-CN" w:bidi="ar-SA"/>
        </w:rPr>
        <w:t>填写完成后点击发起竞价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，界面内需要关联采购计划。</w:t>
      </w:r>
    </w:p>
    <w:p w14:paraId="0D4164F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2548255"/>
            <wp:effectExtent l="0" t="0" r="6350" b="12065"/>
            <wp:docPr id="29" name="图片 29" descr="框架直购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框架直购1.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EFC5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</w:p>
    <w:p w14:paraId="6392578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</w:p>
    <w:p w14:paraId="53DA068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</w:p>
    <w:p w14:paraId="4501F52E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</w:p>
    <w:p w14:paraId="4D5B4127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</w:pPr>
    </w:p>
    <w:p w14:paraId="6A324F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 w:eastAsia="zh-CN" w:bidi="ar"/>
        </w:rPr>
        <w:t>下单界面需要关联采购计划，关联完毕即可提交订单，未关联无法提交订单。</w:t>
      </w:r>
    </w:p>
    <w:p w14:paraId="62A9141B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81280</wp:posOffset>
            </wp:positionV>
            <wp:extent cx="5300980" cy="2320925"/>
            <wp:effectExtent l="0" t="0" r="2540" b="10795"/>
            <wp:wrapSquare wrapText="bothSides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59D4A4"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zh-CN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zh-CN" w:eastAsia="zh-CN" w:bidi="ar-SA"/>
        </w:rPr>
        <w:t>竞价发起后等待供应商响应报价。</w:t>
      </w:r>
    </w:p>
    <w:p w14:paraId="48B66F2E"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zh-CN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zh-CN" w:eastAsia="zh-CN" w:bidi="ar-SA"/>
        </w:rPr>
        <w:drawing>
          <wp:inline distT="0" distB="0" distL="114300" distR="114300">
            <wp:extent cx="5266690" cy="1571625"/>
            <wp:effectExtent l="0" t="0" r="6350" b="13335"/>
            <wp:docPr id="46" name="图片 46" descr="二次竞价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二次竞价1.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77724"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zh-CN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zh-CN" w:eastAsia="zh-CN" w:bidi="ar-SA"/>
        </w:rPr>
        <w:t>竞价结束后竞价结果确认及公示。</w:t>
      </w:r>
    </w:p>
    <w:p w14:paraId="538380E2"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zh-CN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zh-CN" w:eastAsia="zh-CN" w:bidi="ar-SA"/>
        </w:rPr>
        <w:drawing>
          <wp:inline distT="0" distB="0" distL="114300" distR="114300">
            <wp:extent cx="5266690" cy="2548255"/>
            <wp:effectExtent l="0" t="0" r="6350" b="12065"/>
            <wp:docPr id="47" name="图片 47" descr="竞价1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竞价1.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5D173"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760" w:lineRule="exac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zh-CN" w:eastAsia="zh-CN" w:bidi="ar-SA"/>
        </w:rPr>
      </w:pPr>
    </w:p>
    <w:p w14:paraId="1FD911A9"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zh-CN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zh-CN" w:eastAsia="zh-CN" w:bidi="ar-SA"/>
        </w:rPr>
        <w:t>公示结束后竞价成功并生成订单。</w:t>
      </w:r>
    </w:p>
    <w:p w14:paraId="0EBD55ED"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240" w:lineRule="auto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zh-CN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zh-CN" w:eastAsia="zh-CN" w:bidi="ar-SA"/>
        </w:rPr>
        <w:drawing>
          <wp:inline distT="0" distB="0" distL="114300" distR="114300">
            <wp:extent cx="5266690" cy="2545715"/>
            <wp:effectExtent l="0" t="0" r="6350" b="14605"/>
            <wp:docPr id="48" name="图片 48" descr="二次竞价1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二次竞价1.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E8AD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outlineLvl w:val="1"/>
        <w:rPr>
          <w:rFonts w:hint="eastAsia" w:ascii="楷体_GB2312" w:hAnsi="楷体_GB2312" w:eastAsia="楷体_GB2312" w:cs="楷体_GB2312"/>
          <w:b w:val="0"/>
          <w:bCs w:val="0"/>
          <w:color w:val="000000"/>
          <w:kern w:val="0"/>
          <w:sz w:val="32"/>
          <w:szCs w:val="32"/>
          <w:lang w:val="zh-CN" w:eastAsia="zh-CN" w:bidi="ar"/>
        </w:rPr>
      </w:pPr>
      <w:bookmarkStart w:id="19" w:name="_Toc12199"/>
      <w:r>
        <w:rPr>
          <w:rFonts w:hint="eastAsia" w:ascii="楷体_GB2312" w:hAnsi="楷体_GB2312" w:eastAsia="楷体_GB2312" w:cs="楷体_GB2312"/>
          <w:b w:val="0"/>
          <w:bCs w:val="0"/>
          <w:color w:val="000000"/>
          <w:kern w:val="0"/>
          <w:sz w:val="32"/>
          <w:szCs w:val="32"/>
          <w:lang w:val="en-US" w:eastAsia="zh-CN" w:bidi="ar"/>
        </w:rPr>
        <w:t>（二）订单结算及履约</w:t>
      </w:r>
      <w:bookmarkEnd w:id="19"/>
    </w:p>
    <w:p w14:paraId="558DE8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t>供应商接单发货后采购单位收货验收即可。</w:t>
      </w:r>
    </w:p>
    <w:p w14:paraId="419E0C18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1889760"/>
            <wp:effectExtent l="0" t="0" r="6350" b="0"/>
            <wp:docPr id="49" name="图片 49" descr="框架直购1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框架直购1.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2E0ED">
      <w:pP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803910"/>
            <wp:effectExtent l="0" t="0" r="6350" b="3810"/>
            <wp:docPr id="50" name="图片 50" descr="框架直购1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框架直购1.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E08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77D270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3944F74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1C4A3A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4B06D0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</w:p>
    <w:p w14:paraId="79CAF9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未通过验收可取消订单或退换货，通过验收点击去结算生成结算单。</w:t>
      </w:r>
    </w:p>
    <w:p w14:paraId="1EB17F02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1835150"/>
            <wp:effectExtent l="0" t="0" r="6350" b="8890"/>
            <wp:docPr id="51" name="图片 51" descr="框架直购1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框架直购1.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854F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340" w:line="560" w:lineRule="exact"/>
        <w:ind w:right="74" w:firstLine="640" w:firstLineChars="200"/>
        <w:textAlignment w:val="baseline"/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t>供应商接单后双方需要签订采购合同，点击订单内合同板块起草合同签订即可，签订完成需要合同备案。</w:t>
      </w:r>
    </w:p>
    <w:p w14:paraId="1D7B3F03">
      <w:pPr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6690" cy="1917700"/>
            <wp:effectExtent l="0" t="0" r="6350" b="2540"/>
            <wp:docPr id="52" name="图片 52" descr="框架直购1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框架直购1.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909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结算后交易完成。</w:t>
      </w:r>
    </w:p>
    <w:p w14:paraId="5D506E7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5266690" cy="1086485"/>
            <wp:effectExtent l="0" t="0" r="6350" b="10795"/>
            <wp:docPr id="53" name="图片 53" descr="框架直购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框架直购1.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0099C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2"/>
          <w:sz w:val="32"/>
          <w:szCs w:val="32"/>
          <w:lang w:val="en-US" w:eastAsia="zh-CN" w:bidi="ar-SA"/>
        </w:rPr>
      </w:pPr>
    </w:p>
    <w:p w14:paraId="3957AD43"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仿宋" w:hAnsi="仿宋" w:eastAsia="仿宋" w:cs="仿宋"/>
          <w:b w:val="0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color w:val="auto"/>
          <w:kern w:val="0"/>
          <w:sz w:val="32"/>
          <w:szCs w:val="32"/>
          <w:lang w:val="en-US" w:eastAsia="zh-CN" w:bidi="ar"/>
        </w:rPr>
        <w:drawing>
          <wp:inline distT="0" distB="0" distL="114300" distR="114300">
            <wp:extent cx="5266690" cy="2545715"/>
            <wp:effectExtent l="0" t="0" r="6350" b="14605"/>
            <wp:docPr id="54" name="图片 54" descr="二次竞价1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二次竞价1.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7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53B9419B-F30D-4BC2-9D54-907B3171B427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BAECF4E2-8BBF-41E4-8516-8E076A73A83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4FE66011-A685-4BE9-ADD8-7BAC4E58169E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8FBB8FA2-C09A-4F16-8C99-0051EC0F6FC1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  <w:embedRegular r:id="rId5" w:fontKey="{438D8D6B-506A-4517-B0D6-C49CC758B859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BA0F7CAB-0829-479B-97BA-F3AE10B8E0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3D66FF">
    <w:pPr>
      <w:pStyle w:val="2"/>
      <w:tabs>
        <w:tab w:val="clear" w:pos="4153"/>
      </w:tabs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47113A"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J74X8zAgAAYw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ryd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PJ74X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447113A"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69B213">
    <w:pPr>
      <w:pStyle w:val="2"/>
      <w:tabs>
        <w:tab w:val="clear" w:pos="4153"/>
      </w:tabs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15F42E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22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YzS4AzAgAAYwQAAA4AAABkcnMvZTJvRG9jLnhtbK1UzY7TMBC+I/EO&#10;lu80aVes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JYZpVPz0/dvp&#10;x6/Tz68EZxCocWGGuAeHyNi+tS3aZjgPOEy828rr9AUjAj/kPV7kFW0kPF2aTqbTHC4O37ABfvZ4&#10;3fkQ3wmrSTIK6lG/TlZ22ITYhw4hKZuxa6lUV0NlSFPQ66vX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JYzS4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715F42E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22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0DD300"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JoMp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50DD300"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CCBF71"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CCBF71"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53BA93">
    <w:pPr>
      <w:pStyle w:val="2"/>
      <w:tabs>
        <w:tab w:val="left" w:pos="4915"/>
        <w:tab w:val="clear" w:pos="4153"/>
        <w:tab w:val="clear" w:pos="8306"/>
      </w:tabs>
      <w:jc w:val="both"/>
    </w:pPr>
    <w:r>
      <w:rPr>
        <w:sz w:val="1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5DF476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22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7J9wA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7J9wA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05DF476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22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19979F"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c+bJUzAgAAYw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c+bJ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E19979F"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4" name="文本框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18B0E8"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ptGXY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1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ptGXY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418B0E8"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/>
        <w:lang w:eastAsia="zh-CN"/>
      </w:rPr>
      <w:tab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38D2F4">
    <w:pPr>
      <w:spacing w:line="171" w:lineRule="auto"/>
      <w:ind w:left="7435"/>
      <w:rPr>
        <w:rFonts w:ascii="微软雅黑" w:hAnsi="微软雅黑" w:eastAsia="微软雅黑" w:cs="微软雅黑"/>
        <w:sz w:val="15"/>
        <w:szCs w:val="15"/>
      </w:rPr>
    </w:pPr>
    <w:r>
      <w:rPr>
        <w:sz w:val="15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" name="文本框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4909E90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22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xhYO8zAgAAYw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xhYO8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4909E90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22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20ACAE">
    <w:pPr>
      <w:spacing w:line="171" w:lineRule="auto"/>
      <w:rPr>
        <w:rFonts w:ascii="微软雅黑" w:hAnsi="微软雅黑" w:eastAsia="微软雅黑" w:cs="微软雅黑"/>
        <w:sz w:val="15"/>
        <w:szCs w:val="15"/>
      </w:rPr>
    </w:pPr>
    <w:r>
      <w:rPr>
        <w:sz w:val="15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2" name="文本框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DDBE60">
                          <w:pPr>
                            <w:pStyle w:val="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22</w:t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ufqQQ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M2EEsM0Kn768f30&#10;8+H06xvBGQRqXJgh7t4hMrbvbIu2Gc4DDhPvtvI6fcGIwA95jxd5RRsJT5emk+k0h4vDN2yAnz1e&#10;dz7E98JqkoyCetSvk5UdNiH2oUNIymbsWirV1VAZ0hT06vX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OufqQQ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7DDBE60">
                    <w:pPr>
                      <w:pStyle w:val="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rPr>
                        <w:rFonts w:hint="eastAsia"/>
                        <w:lang w:val="en-US" w:eastAsia="zh-CN"/>
                      </w:rPr>
                      <w:t>22</w:t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BC1498"/>
    <w:multiLevelType w:val="singleLevel"/>
    <w:tmpl w:val="CABC1498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EF5413D0"/>
    <w:multiLevelType w:val="singleLevel"/>
    <w:tmpl w:val="EF5413D0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22C3BB48"/>
    <w:multiLevelType w:val="singleLevel"/>
    <w:tmpl w:val="22C3BB48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6A8E9F4"/>
    <w:multiLevelType w:val="singleLevel"/>
    <w:tmpl w:val="56A8E9F4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VmMTU1NzAwNjBkMjlmNmRkZGZjZmZmMTJmNDVlZjYifQ=="/>
  </w:docVars>
  <w:rsids>
    <w:rsidRoot w:val="4EAA1FBB"/>
    <w:rsid w:val="00593490"/>
    <w:rsid w:val="00A10993"/>
    <w:rsid w:val="01921AA3"/>
    <w:rsid w:val="02117D9A"/>
    <w:rsid w:val="023A4BFB"/>
    <w:rsid w:val="0288005D"/>
    <w:rsid w:val="02D95CE2"/>
    <w:rsid w:val="02F70D3E"/>
    <w:rsid w:val="03B24C65"/>
    <w:rsid w:val="04082AD7"/>
    <w:rsid w:val="0543026B"/>
    <w:rsid w:val="056A57F8"/>
    <w:rsid w:val="05C958C9"/>
    <w:rsid w:val="05E51322"/>
    <w:rsid w:val="05E76E48"/>
    <w:rsid w:val="05F477B7"/>
    <w:rsid w:val="065564A8"/>
    <w:rsid w:val="073267E9"/>
    <w:rsid w:val="09CA2D09"/>
    <w:rsid w:val="0A40746F"/>
    <w:rsid w:val="0B7C44D7"/>
    <w:rsid w:val="0BC419DA"/>
    <w:rsid w:val="0BFC1173"/>
    <w:rsid w:val="0D8238FA"/>
    <w:rsid w:val="0DC3019B"/>
    <w:rsid w:val="0DD203DE"/>
    <w:rsid w:val="0E082052"/>
    <w:rsid w:val="0E1E7AC7"/>
    <w:rsid w:val="0E8A0CB9"/>
    <w:rsid w:val="0E9E6512"/>
    <w:rsid w:val="0FAD65C6"/>
    <w:rsid w:val="0FE949D5"/>
    <w:rsid w:val="0FF9044D"/>
    <w:rsid w:val="101A606C"/>
    <w:rsid w:val="110C3C07"/>
    <w:rsid w:val="111156C1"/>
    <w:rsid w:val="11C75D80"/>
    <w:rsid w:val="1218482D"/>
    <w:rsid w:val="1274121F"/>
    <w:rsid w:val="12902616"/>
    <w:rsid w:val="129F0AAB"/>
    <w:rsid w:val="12AA7B7B"/>
    <w:rsid w:val="12E806A4"/>
    <w:rsid w:val="12ED7A68"/>
    <w:rsid w:val="13143247"/>
    <w:rsid w:val="134F0723"/>
    <w:rsid w:val="13E0137B"/>
    <w:rsid w:val="14D56A06"/>
    <w:rsid w:val="15D32F45"/>
    <w:rsid w:val="168E4E32"/>
    <w:rsid w:val="1780534F"/>
    <w:rsid w:val="17A32DEB"/>
    <w:rsid w:val="17EE050A"/>
    <w:rsid w:val="1800023D"/>
    <w:rsid w:val="18CD0120"/>
    <w:rsid w:val="195A6752"/>
    <w:rsid w:val="19C239FC"/>
    <w:rsid w:val="1A7A42D7"/>
    <w:rsid w:val="1B5E7CD6"/>
    <w:rsid w:val="1BE539D2"/>
    <w:rsid w:val="1C672639"/>
    <w:rsid w:val="1CA4388D"/>
    <w:rsid w:val="1D181B85"/>
    <w:rsid w:val="1E0A7720"/>
    <w:rsid w:val="1EC65D3D"/>
    <w:rsid w:val="1F4E188E"/>
    <w:rsid w:val="208E4638"/>
    <w:rsid w:val="20D364EF"/>
    <w:rsid w:val="2110329F"/>
    <w:rsid w:val="21240AF9"/>
    <w:rsid w:val="21466CC1"/>
    <w:rsid w:val="21A97250"/>
    <w:rsid w:val="2250591D"/>
    <w:rsid w:val="245A2A83"/>
    <w:rsid w:val="249E0BC2"/>
    <w:rsid w:val="24CE594B"/>
    <w:rsid w:val="24CF521F"/>
    <w:rsid w:val="24D40A88"/>
    <w:rsid w:val="24EF141E"/>
    <w:rsid w:val="25956469"/>
    <w:rsid w:val="25B70AF0"/>
    <w:rsid w:val="27CB7F20"/>
    <w:rsid w:val="2A6D1762"/>
    <w:rsid w:val="2B3B53BD"/>
    <w:rsid w:val="2BB05DAB"/>
    <w:rsid w:val="2BB46F1D"/>
    <w:rsid w:val="2C414C55"/>
    <w:rsid w:val="2D870D8D"/>
    <w:rsid w:val="2D99286E"/>
    <w:rsid w:val="2DFA64AB"/>
    <w:rsid w:val="2FA572A9"/>
    <w:rsid w:val="2FE029D7"/>
    <w:rsid w:val="301601A6"/>
    <w:rsid w:val="305667F5"/>
    <w:rsid w:val="309B06AC"/>
    <w:rsid w:val="31096344"/>
    <w:rsid w:val="311E5564"/>
    <w:rsid w:val="31F938DC"/>
    <w:rsid w:val="32326DEE"/>
    <w:rsid w:val="326266BA"/>
    <w:rsid w:val="32CB34CA"/>
    <w:rsid w:val="330E1609"/>
    <w:rsid w:val="333274E4"/>
    <w:rsid w:val="33340204"/>
    <w:rsid w:val="33E5680D"/>
    <w:rsid w:val="345B087E"/>
    <w:rsid w:val="348576A9"/>
    <w:rsid w:val="34CC177B"/>
    <w:rsid w:val="35A1577B"/>
    <w:rsid w:val="35B069A7"/>
    <w:rsid w:val="37533A8E"/>
    <w:rsid w:val="3784633D"/>
    <w:rsid w:val="37AD13F0"/>
    <w:rsid w:val="37F73348"/>
    <w:rsid w:val="39365415"/>
    <w:rsid w:val="39897C3B"/>
    <w:rsid w:val="39C66799"/>
    <w:rsid w:val="3A201A72"/>
    <w:rsid w:val="3A4D0C68"/>
    <w:rsid w:val="3A83468A"/>
    <w:rsid w:val="3ABC7B9C"/>
    <w:rsid w:val="3C0D06AF"/>
    <w:rsid w:val="3C1557B6"/>
    <w:rsid w:val="3D4520CB"/>
    <w:rsid w:val="3E0C2959"/>
    <w:rsid w:val="3EA370A9"/>
    <w:rsid w:val="3EE53619"/>
    <w:rsid w:val="40E1035D"/>
    <w:rsid w:val="41004C87"/>
    <w:rsid w:val="414A7CB0"/>
    <w:rsid w:val="417057A0"/>
    <w:rsid w:val="4171348E"/>
    <w:rsid w:val="41874A60"/>
    <w:rsid w:val="420A743F"/>
    <w:rsid w:val="426E3E72"/>
    <w:rsid w:val="42EB54C2"/>
    <w:rsid w:val="42FF4ACA"/>
    <w:rsid w:val="44BF2763"/>
    <w:rsid w:val="45723C79"/>
    <w:rsid w:val="457E617A"/>
    <w:rsid w:val="45D40490"/>
    <w:rsid w:val="46080139"/>
    <w:rsid w:val="46853538"/>
    <w:rsid w:val="46DD3374"/>
    <w:rsid w:val="46F72688"/>
    <w:rsid w:val="475C22DB"/>
    <w:rsid w:val="48971DA8"/>
    <w:rsid w:val="48C93BB0"/>
    <w:rsid w:val="48F6071D"/>
    <w:rsid w:val="49831FB1"/>
    <w:rsid w:val="49E1317B"/>
    <w:rsid w:val="4D16313C"/>
    <w:rsid w:val="4E015B9A"/>
    <w:rsid w:val="4E791BD4"/>
    <w:rsid w:val="4EAA1FBB"/>
    <w:rsid w:val="4FF9594E"/>
    <w:rsid w:val="50E53551"/>
    <w:rsid w:val="51B51175"/>
    <w:rsid w:val="52481FEA"/>
    <w:rsid w:val="535B5D4C"/>
    <w:rsid w:val="53682217"/>
    <w:rsid w:val="546B31A6"/>
    <w:rsid w:val="551537EC"/>
    <w:rsid w:val="55540CA5"/>
    <w:rsid w:val="55A35789"/>
    <w:rsid w:val="55FC3817"/>
    <w:rsid w:val="5641747C"/>
    <w:rsid w:val="5689497F"/>
    <w:rsid w:val="569C0B56"/>
    <w:rsid w:val="56B51C18"/>
    <w:rsid w:val="5714337C"/>
    <w:rsid w:val="57580F21"/>
    <w:rsid w:val="57A53A3A"/>
    <w:rsid w:val="57C90920"/>
    <w:rsid w:val="57F35C7F"/>
    <w:rsid w:val="583152CE"/>
    <w:rsid w:val="58421289"/>
    <w:rsid w:val="584E5E80"/>
    <w:rsid w:val="586456A3"/>
    <w:rsid w:val="58B57CAD"/>
    <w:rsid w:val="5A1F7AD4"/>
    <w:rsid w:val="5B266C40"/>
    <w:rsid w:val="5B885B4D"/>
    <w:rsid w:val="5C367357"/>
    <w:rsid w:val="5C4E6E54"/>
    <w:rsid w:val="5CCB5CF1"/>
    <w:rsid w:val="5D243653"/>
    <w:rsid w:val="5DF474C9"/>
    <w:rsid w:val="5F2711D9"/>
    <w:rsid w:val="5F422817"/>
    <w:rsid w:val="5FD514C0"/>
    <w:rsid w:val="606E3563"/>
    <w:rsid w:val="615F10FE"/>
    <w:rsid w:val="618B3CA1"/>
    <w:rsid w:val="618E553F"/>
    <w:rsid w:val="6267026A"/>
    <w:rsid w:val="628A3F58"/>
    <w:rsid w:val="62F97527"/>
    <w:rsid w:val="63952BB5"/>
    <w:rsid w:val="64607667"/>
    <w:rsid w:val="64C01EB3"/>
    <w:rsid w:val="651D2E62"/>
    <w:rsid w:val="684B5F38"/>
    <w:rsid w:val="686D5EAE"/>
    <w:rsid w:val="694806C9"/>
    <w:rsid w:val="6A072332"/>
    <w:rsid w:val="6B340F05"/>
    <w:rsid w:val="6BBD0EFB"/>
    <w:rsid w:val="6CAB51F7"/>
    <w:rsid w:val="6CB56076"/>
    <w:rsid w:val="6D6D6950"/>
    <w:rsid w:val="6D803B97"/>
    <w:rsid w:val="6E9E14B7"/>
    <w:rsid w:val="6FE0340A"/>
    <w:rsid w:val="705B6F34"/>
    <w:rsid w:val="70734744"/>
    <w:rsid w:val="71883D59"/>
    <w:rsid w:val="728A3B01"/>
    <w:rsid w:val="7298621E"/>
    <w:rsid w:val="74100036"/>
    <w:rsid w:val="74161AF0"/>
    <w:rsid w:val="74AC5FB0"/>
    <w:rsid w:val="74B82BA7"/>
    <w:rsid w:val="74BB61F3"/>
    <w:rsid w:val="75483F2B"/>
    <w:rsid w:val="756B7C19"/>
    <w:rsid w:val="75B90985"/>
    <w:rsid w:val="75BA294F"/>
    <w:rsid w:val="760836BA"/>
    <w:rsid w:val="76CA5EAD"/>
    <w:rsid w:val="7735228D"/>
    <w:rsid w:val="78C713F6"/>
    <w:rsid w:val="78D45AD6"/>
    <w:rsid w:val="78EA70A7"/>
    <w:rsid w:val="79B25E17"/>
    <w:rsid w:val="7A293BFF"/>
    <w:rsid w:val="7AC027B5"/>
    <w:rsid w:val="7B6C6D52"/>
    <w:rsid w:val="7BDB350B"/>
    <w:rsid w:val="7C8810B1"/>
    <w:rsid w:val="7E6416AA"/>
    <w:rsid w:val="7F347A46"/>
    <w:rsid w:val="7FCB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kern w:val="0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paragraph" w:customStyle="1" w:styleId="8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5.xml"/><Relationship Id="rId6" Type="http://schemas.openxmlformats.org/officeDocument/2006/relationships/footer" Target="footer4.xml"/><Relationship Id="rId5" Type="http://schemas.openxmlformats.org/officeDocument/2006/relationships/footer" Target="footer3.xml"/><Relationship Id="rId4" Type="http://schemas.openxmlformats.org/officeDocument/2006/relationships/footer" Target="footer2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er" Target="footer1.xml"/><Relationship Id="rId29" Type="http://schemas.openxmlformats.org/officeDocument/2006/relationships/image" Target="media/image21.png"/><Relationship Id="rId28" Type="http://schemas.openxmlformats.org/officeDocument/2006/relationships/image" Target="media/image20.jpe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3021</Words>
  <Characters>3101</Characters>
  <Lines>0</Lines>
  <Paragraphs>0</Paragraphs>
  <TotalTime>0</TotalTime>
  <ScaleCrop>false</ScaleCrop>
  <LinksUpToDate>false</LinksUpToDate>
  <CharactersWithSpaces>3140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2024-10-25T01:40:00Z</dcterms:created>
  <dc:creator>8237476979</dc:creator>
  <cp:lastModifiedBy>Administrator</cp:lastModifiedBy>
  <dcterms:modified xsi:type="dcterms:W3CDTF">2025-02-19T07:03:17Z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192FC1CA37B046FBAAF40CFE11206A11_13</vt:lpwstr>
  </property>
</Properties>
</file>