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1762" w:firstLineChars="400"/>
        <w:jc w:val="both"/>
        <w:rPr>
          <w:rFonts w:hint="eastAsia" w:ascii="华文楷体" w:hAnsi="华文楷体" w:eastAsia="华文楷体" w:cs="宋体-WinCharSetFFFF-H"/>
          <w:b/>
          <w:bCs/>
          <w:kern w:val="0"/>
          <w:sz w:val="44"/>
          <w:szCs w:val="44"/>
          <w:lang w:val="en-US" w:eastAsia="zh-CN"/>
        </w:rPr>
      </w:pPr>
    </w:p>
    <w:p>
      <w:pPr>
        <w:autoSpaceDE w:val="0"/>
        <w:autoSpaceDN w:val="0"/>
        <w:adjustRightInd w:val="0"/>
        <w:ind w:firstLine="1762" w:firstLineChars="400"/>
        <w:jc w:val="both"/>
        <w:rPr>
          <w:rFonts w:hint="eastAsia" w:ascii="华文楷体" w:hAnsi="华文楷体" w:eastAsia="华文楷体" w:cs="宋体-WinCharSetFFFF-H"/>
          <w:b/>
          <w:bCs/>
          <w:kern w:val="0"/>
          <w:sz w:val="44"/>
          <w:szCs w:val="44"/>
          <w:lang w:val="en-US" w:eastAsia="zh-CN"/>
        </w:rPr>
      </w:pPr>
    </w:p>
    <w:p>
      <w:pPr>
        <w:autoSpaceDE w:val="0"/>
        <w:autoSpaceDN w:val="0"/>
        <w:adjustRightInd w:val="0"/>
        <w:ind w:firstLine="1762" w:firstLineChars="400"/>
        <w:jc w:val="both"/>
        <w:rPr>
          <w:rFonts w:hint="eastAsia" w:ascii="华文楷体" w:hAnsi="华文楷体" w:eastAsia="华文楷体" w:cs="宋体-WinCharSetFFFF-H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华文楷体" w:hAnsi="华文楷体" w:eastAsia="华文楷体" w:cs="宋体-WinCharSetFFFF-H"/>
          <w:b/>
          <w:bCs/>
          <w:kern w:val="0"/>
          <w:sz w:val="44"/>
          <w:szCs w:val="44"/>
          <w:lang w:val="en-US" w:eastAsia="zh-CN"/>
        </w:rPr>
        <w:t>长春市公共资源交易中心</w:t>
      </w:r>
    </w:p>
    <w:p>
      <w:pPr>
        <w:autoSpaceDE w:val="0"/>
        <w:autoSpaceDN w:val="0"/>
        <w:adjustRightInd w:val="0"/>
        <w:ind w:firstLine="1762" w:firstLineChars="400"/>
        <w:jc w:val="both"/>
        <w:rPr>
          <w:rFonts w:ascii="华文楷体" w:hAnsi="华文楷体" w:eastAsia="华文楷体" w:cs="宋体-WinCharSetFFFF-H"/>
          <w:b/>
          <w:bCs/>
          <w:kern w:val="0"/>
          <w:sz w:val="44"/>
          <w:szCs w:val="44"/>
        </w:rPr>
      </w:pPr>
      <w:r>
        <w:rPr>
          <w:rFonts w:hint="eastAsia" w:ascii="华文楷体" w:hAnsi="华文楷体" w:eastAsia="华文楷体" w:cs="宋体-WinCharSetFFFF-H"/>
          <w:b/>
          <w:bCs/>
          <w:kern w:val="0"/>
          <w:sz w:val="44"/>
          <w:szCs w:val="44"/>
          <w:lang w:val="en-US" w:eastAsia="zh-CN"/>
        </w:rPr>
        <w:t>（长春市政府采购中心）</w:t>
      </w:r>
    </w:p>
    <w:p>
      <w:pPr>
        <w:autoSpaceDE w:val="0"/>
        <w:autoSpaceDN w:val="0"/>
        <w:adjustRightInd w:val="0"/>
        <w:jc w:val="center"/>
        <w:rPr>
          <w:rFonts w:hint="eastAsia" w:ascii="华文楷体" w:hAnsi="华文楷体" w:eastAsia="华文楷体" w:cs="宋体-WinCharSetFFFF-H"/>
          <w:b/>
          <w:kern w:val="0"/>
          <w:sz w:val="44"/>
          <w:szCs w:val="44"/>
        </w:rPr>
      </w:pPr>
      <w:r>
        <w:rPr>
          <w:rFonts w:hint="eastAsia" w:ascii="华文楷体" w:hAnsi="华文楷体" w:eastAsia="华文楷体" w:cs="宋体-WinCharSetFFFF-H"/>
          <w:b/>
          <w:kern w:val="0"/>
          <w:sz w:val="44"/>
          <w:szCs w:val="44"/>
          <w:lang w:val="en-US" w:eastAsia="zh-CN"/>
        </w:rPr>
        <w:t>网上质疑</w:t>
      </w:r>
      <w:r>
        <w:rPr>
          <w:rFonts w:hint="eastAsia" w:ascii="华文楷体" w:hAnsi="华文楷体" w:eastAsia="华文楷体" w:cs="宋体-WinCharSetFFFF-H"/>
          <w:b/>
          <w:kern w:val="0"/>
          <w:sz w:val="44"/>
          <w:szCs w:val="44"/>
        </w:rPr>
        <w:t>操作</w:t>
      </w:r>
      <w:r>
        <w:rPr>
          <w:rFonts w:hint="eastAsia" w:ascii="华文楷体" w:hAnsi="华文楷体" w:eastAsia="华文楷体" w:cs="宋体-WinCharSetFFFF-H"/>
          <w:b/>
          <w:kern w:val="0"/>
          <w:sz w:val="44"/>
          <w:szCs w:val="44"/>
          <w:lang w:val="en-US" w:eastAsia="zh-CN"/>
        </w:rPr>
        <w:t>说明</w:t>
      </w:r>
      <w:r>
        <w:rPr>
          <w:rFonts w:hint="eastAsia" w:ascii="华文楷体" w:hAnsi="华文楷体" w:eastAsia="华文楷体" w:cs="宋体-WinCharSetFFFF-H"/>
          <w:b/>
          <w:kern w:val="0"/>
          <w:sz w:val="44"/>
          <w:szCs w:val="44"/>
        </w:rPr>
        <w:t>手册</w:t>
      </w:r>
    </w:p>
    <w:p>
      <w:pPr>
        <w:autoSpaceDE w:val="0"/>
        <w:autoSpaceDN w:val="0"/>
        <w:adjustRightInd w:val="0"/>
        <w:ind w:firstLine="1321" w:firstLineChars="300"/>
        <w:jc w:val="both"/>
        <w:rPr>
          <w:rFonts w:hint="eastAsia" w:ascii="华文楷体" w:hAnsi="华文楷体" w:eastAsia="华文楷体" w:cs="宋体-WinCharSetFFFF-H"/>
          <w:b/>
          <w:kern w:val="0"/>
          <w:sz w:val="44"/>
          <w:szCs w:val="44"/>
        </w:rPr>
      </w:pPr>
    </w:p>
    <w:p>
      <w:pPr>
        <w:autoSpaceDE w:val="0"/>
        <w:autoSpaceDN w:val="0"/>
        <w:adjustRightInd w:val="0"/>
        <w:ind w:firstLine="1321" w:firstLineChars="300"/>
        <w:jc w:val="both"/>
        <w:rPr>
          <w:rFonts w:hint="eastAsia" w:ascii="华文楷体" w:hAnsi="华文楷体" w:eastAsia="华文楷体" w:cs="宋体-WinCharSetFFFF-H"/>
          <w:b/>
          <w:kern w:val="0"/>
          <w:sz w:val="44"/>
          <w:szCs w:val="44"/>
        </w:rPr>
      </w:pPr>
    </w:p>
    <w:p>
      <w:pPr>
        <w:autoSpaceDE w:val="0"/>
        <w:autoSpaceDN w:val="0"/>
        <w:adjustRightInd w:val="0"/>
        <w:jc w:val="both"/>
        <w:rPr>
          <w:rFonts w:hint="eastAsia" w:ascii="华文楷体" w:hAnsi="华文楷体" w:eastAsia="华文楷体" w:cs="宋体-WinCharSetFFFF-H"/>
          <w:b/>
          <w:kern w:val="0"/>
          <w:sz w:val="44"/>
          <w:szCs w:val="44"/>
        </w:rPr>
      </w:pPr>
    </w:p>
    <w:sdt>
      <w:sdtPr>
        <w:rPr>
          <w:rFonts w:ascii="宋体" w:hAnsi="宋体" w:eastAsia="宋体" w:cs="Times New Roman"/>
          <w:kern w:val="2"/>
          <w:sz w:val="21"/>
          <w:szCs w:val="22"/>
          <w:lang w:val="en-US" w:eastAsia="zh-CN" w:bidi="ar-SA"/>
        </w:rPr>
        <w:id w:val="147453899"/>
        <w15:color w:val="DBDBDB"/>
        <w:docPartObj>
          <w:docPartGallery w:val="Table of Contents"/>
          <w:docPartUnique/>
        </w:docPartObj>
      </w:sdtPr>
      <w:sdtEndP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8"/>
              <w:szCs w:val="28"/>
            </w:rPr>
            <w:t>目录</w:t>
          </w:r>
        </w:p>
        <w:p>
          <w:pPr>
            <w:pStyle w:val="15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TOC \o "1-3" \h \u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_Toc20151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一、质疑方式及发起质疑条件</w:t>
          </w:r>
          <w:r>
            <w:tab/>
          </w:r>
          <w:r>
            <w:fldChar w:fldCharType="begin"/>
          </w:r>
          <w:r>
            <w:instrText xml:space="preserve"> PAGEREF _Toc20151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_Toc14739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</w:rPr>
            <w:t xml:space="preserve">1.1 </w:t>
          </w:r>
          <w:r>
            <w:rPr>
              <w:rFonts w:hint="eastAsia"/>
              <w:lang w:val="en-US" w:eastAsia="zh-CN"/>
            </w:rPr>
            <w:t>对文件质疑</w:t>
          </w:r>
          <w:r>
            <w:tab/>
          </w:r>
          <w:r>
            <w:fldChar w:fldCharType="begin"/>
          </w:r>
          <w:r>
            <w:instrText xml:space="preserve"> PAGEREF _Toc14739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_Toc21444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</w:rPr>
            <w:t>1.2</w:t>
          </w:r>
          <w:r>
            <w:rPr>
              <w:rFonts w:hint="eastAsia"/>
              <w:lang w:val="en-US" w:eastAsia="zh-CN"/>
            </w:rPr>
            <w:t>对过程、结果质疑</w:t>
          </w:r>
          <w:r>
            <w:tab/>
          </w:r>
          <w:r>
            <w:fldChar w:fldCharType="begin"/>
          </w:r>
          <w:r>
            <w:instrText xml:space="preserve"> PAGEREF _Toc21444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_Toc5268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二、 网上质疑处理流程及相关参考页面</w:t>
          </w:r>
          <w:r>
            <w:tab/>
          </w:r>
          <w:r>
            <w:fldChar w:fldCharType="begin"/>
          </w:r>
          <w:r>
            <w:instrText xml:space="preserve"> PAGEREF _Toc5268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_Toc1258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bCs/>
            </w:rPr>
            <w:t xml:space="preserve">2.1 </w:t>
          </w:r>
          <w:r>
            <w:rPr>
              <w:rFonts w:hint="eastAsia" w:ascii="黑体" w:hAnsi="黑体" w:cs="黑体"/>
              <w:bCs/>
              <w:lang w:val="en-US" w:eastAsia="zh-CN"/>
            </w:rPr>
            <w:t>对文件质疑流程及页面</w:t>
          </w:r>
          <w:r>
            <w:tab/>
          </w:r>
          <w:r>
            <w:fldChar w:fldCharType="begin"/>
          </w:r>
          <w:r>
            <w:instrText xml:space="preserve"> PAGEREF _Toc1258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_Toc14536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2.2对采购过程、结果质疑流程及页面</w:t>
          </w:r>
          <w:r>
            <w:tab/>
          </w:r>
          <w:r>
            <w:fldChar w:fldCharType="begin"/>
          </w:r>
          <w:r>
            <w:instrText xml:space="preserve"> PAGEREF _Toc14536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_Toc30462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三、 网上质疑如何判断是否已提交至长春市公共资源交易（长春市政府采购中心）</w:t>
          </w:r>
          <w:r>
            <w:tab/>
          </w:r>
          <w:r>
            <w:fldChar w:fldCharType="begin"/>
          </w:r>
          <w:r>
            <w:instrText xml:space="preserve"> PAGEREF _Toc30462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rPr>
              <w:rFonts w:hint="eastAsia"/>
              <w:lang w:val="en-US" w:eastAsia="zh-CN"/>
            </w:rPr>
          </w:pPr>
          <w:r>
            <w:rPr>
              <w:rFonts w:hint="eastAsia"/>
              <w:lang w:val="en-US" w:eastAsia="zh-CN"/>
            </w:rPr>
            <w:fldChar w:fldCharType="end"/>
          </w:r>
        </w:p>
      </w:sdtContent>
    </w:sdt>
    <w:p>
      <w:pPr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default"/>
          <w:lang w:val="en-US"/>
        </w:rPr>
      </w:pPr>
      <w:bookmarkStart w:id="0" w:name="_Toc20151"/>
      <w:r>
        <w:rPr>
          <w:rFonts w:hint="eastAsia"/>
          <w:lang w:val="en-US" w:eastAsia="zh-CN"/>
        </w:rPr>
        <w:t>一、质疑方式及发起质疑条件</w:t>
      </w:r>
      <w:bookmarkEnd w:id="0"/>
    </w:p>
    <w:p>
      <w:pPr>
        <w:pStyle w:val="3"/>
        <w:bidi w:val="0"/>
        <w:rPr>
          <w:rFonts w:hint="default"/>
          <w:lang w:val="en-US" w:eastAsia="zh-CN"/>
        </w:rPr>
      </w:pPr>
      <w:bookmarkStart w:id="1" w:name="_Toc320953521"/>
      <w:bookmarkStart w:id="2" w:name="_Toc14739"/>
      <w:r>
        <w:rPr>
          <w:rFonts w:hint="eastAsia"/>
        </w:rPr>
        <w:t xml:space="preserve">1.1 </w:t>
      </w:r>
      <w:bookmarkEnd w:id="1"/>
      <w:r>
        <w:rPr>
          <w:rFonts w:hint="eastAsia"/>
          <w:lang w:val="en-US" w:eastAsia="zh-CN"/>
        </w:rPr>
        <w:t>对文件质疑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rPr>
          <w:rFonts w:hint="default" w:asciiTheme="minorEastAsia" w:hAnsiTheme="minorEastAsia" w:eastAsiaTheme="minorEastAsia" w:cstheme="minorEastAsia"/>
          <w:color w:val="333333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前提条件：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下载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lang w:val="en-US" w:eastAsia="zh-CN"/>
        </w:rPr>
        <w:t>招标文件（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采购文件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在文件提供截止期限内，下载文件才能提出质疑，从下载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lang w:val="en-US" w:eastAsia="zh-CN"/>
        </w:rPr>
        <w:t>招标文件（采购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文件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当前时间加次日</w:t>
      </w:r>
      <w:r>
        <w:rPr>
          <w:rFonts w:hint="eastAsia" w:asciiTheme="minorEastAsia" w:hAnsiTheme="minorEastAsia" w:eastAsiaTheme="minorEastAsia" w:cstheme="minorEastAsia"/>
          <w:color w:val="6E6130"/>
          <w:sz w:val="28"/>
          <w:szCs w:val="28"/>
        </w:rPr>
        <w:t>0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点七个工作日提出质疑有效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lang w:val="en-US" w:eastAsia="zh-CN"/>
        </w:rPr>
        <w:t>需上传供应商下载招标文件情况表。</w:t>
      </w:r>
    </w:p>
    <w:p>
      <w:pPr>
        <w:pStyle w:val="3"/>
        <w:bidi w:val="0"/>
        <w:rPr>
          <w:rFonts w:hint="default"/>
          <w:lang w:val="en-US" w:eastAsia="zh-CN"/>
        </w:rPr>
      </w:pPr>
      <w:bookmarkStart w:id="3" w:name="_Toc320953522"/>
      <w:bookmarkStart w:id="4" w:name="_Toc21444"/>
      <w:r>
        <w:rPr>
          <w:rFonts w:hint="eastAsia"/>
        </w:rPr>
        <w:t>1.2</w:t>
      </w:r>
      <w:bookmarkEnd w:id="3"/>
      <w:r>
        <w:rPr>
          <w:rFonts w:hint="eastAsia"/>
          <w:lang w:val="en-US" w:eastAsia="zh-CN"/>
        </w:rPr>
        <w:t>对过程、结果质疑</w:t>
      </w:r>
      <w:bookmarkEnd w:id="4"/>
    </w:p>
    <w:p>
      <w:pPr>
        <w:widowControl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lang w:val="en-US" w:eastAsia="zh-CN"/>
        </w:rPr>
        <w:t>前提条件：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下载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lang w:val="en-US" w:eastAsia="zh-CN"/>
        </w:rPr>
        <w:t>招标文件（采购文件）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才能提出质疑，提交质疑期限截止为结果公告发布期限届满后</w:t>
      </w:r>
      <w:r>
        <w:rPr>
          <w:rFonts w:hint="eastAsia" w:asciiTheme="minorEastAsia" w:hAnsiTheme="minorEastAsia" w:eastAsiaTheme="minorEastAsia" w:cstheme="minorEastAsia"/>
          <w:color w:val="6E6130"/>
          <w:sz w:val="28"/>
          <w:szCs w:val="28"/>
        </w:rPr>
        <w:t>7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个工作日。</w:t>
      </w:r>
    </w:p>
    <w:p>
      <w:pPr>
        <w:autoSpaceDE w:val="0"/>
        <w:autoSpaceDN w:val="0"/>
        <w:adjustRightInd w:val="0"/>
        <w:jc w:val="left"/>
        <w:rPr>
          <w:rFonts w:hint="eastAsia" w:ascii="华文楷体" w:hAnsi="华文楷体" w:eastAsia="华文楷体" w:cs="宋体-WinCharSetFFFF-H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面。</w:t>
      </w:r>
    </w:p>
    <w:p>
      <w:pPr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宋体-WinCharSetFFFF-H"/>
          <w:b/>
          <w:bCs/>
          <w:color w:val="FF0000"/>
          <w:kern w:val="0"/>
          <w:sz w:val="28"/>
          <w:szCs w:val="28"/>
          <w:lang w:val="en-US" w:eastAsia="zh-CN"/>
        </w:rPr>
        <w:t>Ps</w:t>
      </w:r>
      <w:r>
        <w:rPr>
          <w:rFonts w:hint="eastAsia" w:ascii="华文楷体" w:hAnsi="华文楷体" w:eastAsia="华文楷体" w:cs="宋体-WinCharSetFFFF-H"/>
          <w:kern w:val="0"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以上提交质疑页面可参考下图：</w:t>
      </w:r>
    </w:p>
    <w:p>
      <w:pPr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①临时保存网上质疑数据到账户内可点击‘修改保存’按钮，此时中心未接到网上质疑件。</w:t>
      </w:r>
    </w:p>
    <w:p>
      <w:pPr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②投标人完善好质疑数据内容后，可直接点击‘提交审核’按钮，将质疑数据提交至交易中心处理。</w:t>
      </w:r>
    </w:p>
    <w:p>
      <w:pPr>
        <w:autoSpaceDE w:val="0"/>
        <w:autoSpaceDN w:val="0"/>
        <w:adjustRightInd w:val="0"/>
        <w:jc w:val="left"/>
        <w:rPr>
          <w:rFonts w:hint="default" w:ascii="华文楷体" w:hAnsi="华文楷体" w:eastAsia="华文楷体" w:cs="宋体-WinCharSetFFFF-H"/>
          <w:kern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2245" cy="2651125"/>
            <wp:effectExtent l="0" t="0" r="14605" b="15875"/>
            <wp:docPr id="2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bookmarkStart w:id="5" w:name="_Toc5268"/>
      <w:r>
        <w:rPr>
          <w:rFonts w:hint="eastAsia"/>
          <w:lang w:val="en-US" w:eastAsia="zh-CN"/>
        </w:rPr>
        <w:t>网上质疑处理流程及相关参考页面</w:t>
      </w:r>
      <w:bookmarkEnd w:id="5"/>
    </w:p>
    <w:p>
      <w:pPr>
        <w:pStyle w:val="3"/>
        <w:bidi w:val="0"/>
        <w:rPr>
          <w:rFonts w:hint="default" w:ascii="黑体" w:hAnsi="黑体" w:eastAsia="黑体" w:cs="黑体"/>
          <w:lang w:val="en-US" w:eastAsia="zh-CN"/>
        </w:rPr>
      </w:pPr>
      <w:bookmarkStart w:id="6" w:name="_Toc320953526"/>
      <w:bookmarkStart w:id="7" w:name="_Toc1258"/>
      <w:r>
        <w:rPr>
          <w:rFonts w:hint="eastAsia" w:ascii="黑体" w:hAnsi="黑体" w:eastAsia="黑体" w:cs="黑体"/>
          <w:bCs/>
        </w:rPr>
        <w:t xml:space="preserve">2.1 </w:t>
      </w:r>
      <w:bookmarkEnd w:id="6"/>
      <w:r>
        <w:rPr>
          <w:rFonts w:hint="eastAsia" w:ascii="黑体" w:hAnsi="黑体" w:cs="黑体"/>
          <w:bCs/>
          <w:lang w:val="en-US" w:eastAsia="zh-CN"/>
        </w:rPr>
        <w:t>对文件质疑流程及页面</w:t>
      </w:r>
      <w:bookmarkEnd w:id="7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满足前提条件的基础上投标人（供应商）选择项目进行完善质疑内容发起质疑；对文件质疑后，长春市公共资源交易中心的大概流程是：网上质疑提交→质疑接收→业务部办理→采购人处理→质疑答复。</w:t>
      </w:r>
      <w:bookmarkStart w:id="10" w:name="_GoBack"/>
      <w:bookmarkEnd w:id="1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drawing>
          <wp:inline distT="0" distB="0" distL="114300" distR="114300">
            <wp:extent cx="5263515" cy="2148840"/>
            <wp:effectExtent l="0" t="0" r="13335" b="3810"/>
            <wp:docPr id="2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lang w:val="en-US" w:eastAsia="zh-CN"/>
        </w:rPr>
      </w:pPr>
      <w:bookmarkStart w:id="8" w:name="_Toc14536"/>
      <w:r>
        <w:rPr>
          <w:rFonts w:hint="eastAsia"/>
          <w:lang w:val="en-US" w:eastAsia="zh-CN"/>
        </w:rPr>
        <w:t>2.2对采购过程、结果质疑流程及页面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满足前提条件的基础上投标人（供应商）选择项目进行完善质疑内容发起质疑；对采购过程、结果后，长春市公共资源交易中心的大概流程是：网上质疑提交→质疑接收→评审部办理→质疑答复。</w:t>
      </w:r>
    </w:p>
    <w:p>
      <w:r>
        <w:drawing>
          <wp:inline distT="0" distB="0" distL="114300" distR="114300">
            <wp:extent cx="5266055" cy="2083435"/>
            <wp:effectExtent l="0" t="0" r="10795" b="12065"/>
            <wp:docPr id="2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bookmarkStart w:id="9" w:name="_Toc30462"/>
      <w:r>
        <w:rPr>
          <w:rFonts w:hint="eastAsia"/>
          <w:lang w:val="en-US" w:eastAsia="zh-CN"/>
        </w:rPr>
        <w:t>网上质疑如何判断是否已提交至长春市公共资源交易（长春市政府采购中心）</w:t>
      </w:r>
      <w:bookmarkEnd w:id="9"/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相关参考页面如下，随系统功能优化功能页面可能会有变化：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2245" cy="1397000"/>
            <wp:effectExtent l="0" t="0" r="14605" b="12700"/>
            <wp:docPr id="2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eastAsia="宋体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Ps：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上图中分为‘未答复’、‘已答复’、‘已撤销’状态，未答复中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304800" cy="228600"/>
            <wp:effectExtent l="0" t="0" r="0" b="0"/>
            <wp:docPr id="2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状态为未提交至交易中心办理，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276225" cy="209550"/>
            <wp:effectExtent l="0" t="0" r="9525" b="0"/>
            <wp:docPr id="2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状态则证明为，已提交至交易中心，但还没有答复；请在提交网上质疑数据后，关注答复截止时间，如有问题请咨询软件公司客服电话4009980000，相关流程及办事进度咨询请联系交易中心相关部门。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WinCharSetFFFF-H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rFonts w:hint="eastAsia" w:ascii="宋体-WinCharSetFFFF-H" w:eastAsia="宋体-WinCharSetFFFF-H" w:cs="宋体-WinCharSetFFFF-H"/>
        <w:kern w:val="0"/>
        <w:lang w:val="en-US" w:eastAsia="zh-CN"/>
      </w:rPr>
      <w:t>长春市公共资源交易中心（长春市政府采购中心）网上质疑</w:t>
    </w:r>
    <w:r>
      <w:rPr>
        <w:rFonts w:hint="eastAsia" w:ascii="宋体-WinCharSetFFFF-H" w:eastAsia="宋体-WinCharSetFFFF-H" w:cs="宋体-WinCharSetFFFF-H"/>
        <w:kern w:val="0"/>
      </w:rPr>
      <w:t>操作</w:t>
    </w:r>
    <w:r>
      <w:rPr>
        <w:rFonts w:hint="eastAsia" w:ascii="宋体-WinCharSetFFFF-H" w:eastAsia="宋体-WinCharSetFFFF-H" w:cs="宋体-WinCharSetFFFF-H"/>
        <w:kern w:val="0"/>
        <w:lang w:val="en-US" w:eastAsia="zh-CN"/>
      </w:rPr>
      <w:t>说明</w:t>
    </w:r>
    <w:r>
      <w:rPr>
        <w:rFonts w:hint="eastAsia" w:ascii="宋体-WinCharSetFFFF-H" w:eastAsia="宋体-WinCharSetFFFF-H" w:cs="宋体-WinCharSetFFFF-H"/>
        <w:kern w:val="0"/>
      </w:rPr>
      <w:t>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A3E35"/>
    <w:multiLevelType w:val="singleLevel"/>
    <w:tmpl w:val="4C6A3E35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52"/>
    <w:rsid w:val="00013AD6"/>
    <w:rsid w:val="000F2F6B"/>
    <w:rsid w:val="00112B74"/>
    <w:rsid w:val="0013508B"/>
    <w:rsid w:val="00150634"/>
    <w:rsid w:val="001765D4"/>
    <w:rsid w:val="001C0B82"/>
    <w:rsid w:val="0023358C"/>
    <w:rsid w:val="002B4EBE"/>
    <w:rsid w:val="002B61BF"/>
    <w:rsid w:val="002D5C4A"/>
    <w:rsid w:val="00330E99"/>
    <w:rsid w:val="00366C5E"/>
    <w:rsid w:val="003C048C"/>
    <w:rsid w:val="004251B3"/>
    <w:rsid w:val="00452B19"/>
    <w:rsid w:val="00464134"/>
    <w:rsid w:val="00472E42"/>
    <w:rsid w:val="004962E4"/>
    <w:rsid w:val="004B0B10"/>
    <w:rsid w:val="004B0E5C"/>
    <w:rsid w:val="004E4462"/>
    <w:rsid w:val="004F76C1"/>
    <w:rsid w:val="004F77B8"/>
    <w:rsid w:val="00530715"/>
    <w:rsid w:val="00560289"/>
    <w:rsid w:val="00567D4C"/>
    <w:rsid w:val="00574982"/>
    <w:rsid w:val="005C2BDD"/>
    <w:rsid w:val="005D4B02"/>
    <w:rsid w:val="005E408F"/>
    <w:rsid w:val="005E64F4"/>
    <w:rsid w:val="0061574E"/>
    <w:rsid w:val="006C2205"/>
    <w:rsid w:val="006E2399"/>
    <w:rsid w:val="006F420C"/>
    <w:rsid w:val="00731EA2"/>
    <w:rsid w:val="00767B58"/>
    <w:rsid w:val="00772707"/>
    <w:rsid w:val="007B2526"/>
    <w:rsid w:val="007B7970"/>
    <w:rsid w:val="007E7AAD"/>
    <w:rsid w:val="00804892"/>
    <w:rsid w:val="00806BF7"/>
    <w:rsid w:val="008126AB"/>
    <w:rsid w:val="00876C46"/>
    <w:rsid w:val="00892D30"/>
    <w:rsid w:val="008B3ECB"/>
    <w:rsid w:val="008C4519"/>
    <w:rsid w:val="00903C49"/>
    <w:rsid w:val="00922958"/>
    <w:rsid w:val="00951252"/>
    <w:rsid w:val="009957A7"/>
    <w:rsid w:val="00A45310"/>
    <w:rsid w:val="00AE6BD7"/>
    <w:rsid w:val="00B20F6C"/>
    <w:rsid w:val="00B85019"/>
    <w:rsid w:val="00B92473"/>
    <w:rsid w:val="00B92833"/>
    <w:rsid w:val="00BE3752"/>
    <w:rsid w:val="00C273AB"/>
    <w:rsid w:val="00C45CBF"/>
    <w:rsid w:val="00C67738"/>
    <w:rsid w:val="00C859AA"/>
    <w:rsid w:val="00CE1BD7"/>
    <w:rsid w:val="00CE31C9"/>
    <w:rsid w:val="00D34ACF"/>
    <w:rsid w:val="00D34D83"/>
    <w:rsid w:val="00D61BEB"/>
    <w:rsid w:val="00DB7538"/>
    <w:rsid w:val="00DE11E1"/>
    <w:rsid w:val="00DE59D8"/>
    <w:rsid w:val="00DF0052"/>
    <w:rsid w:val="00E11232"/>
    <w:rsid w:val="00E2138D"/>
    <w:rsid w:val="00E358E5"/>
    <w:rsid w:val="00E72531"/>
    <w:rsid w:val="00E74938"/>
    <w:rsid w:val="00E92AE7"/>
    <w:rsid w:val="00EA2146"/>
    <w:rsid w:val="00EF722B"/>
    <w:rsid w:val="00F4149C"/>
    <w:rsid w:val="00F5622A"/>
    <w:rsid w:val="00F74ADE"/>
    <w:rsid w:val="00FA57F3"/>
    <w:rsid w:val="00FB03F7"/>
    <w:rsid w:val="00FB0B4D"/>
    <w:rsid w:val="00FB40EB"/>
    <w:rsid w:val="00FD3BF7"/>
    <w:rsid w:val="060B0F91"/>
    <w:rsid w:val="08E5463B"/>
    <w:rsid w:val="1658361C"/>
    <w:rsid w:val="1C1C2E18"/>
    <w:rsid w:val="22242451"/>
    <w:rsid w:val="24E379AC"/>
    <w:rsid w:val="2767577F"/>
    <w:rsid w:val="277B1485"/>
    <w:rsid w:val="2789548F"/>
    <w:rsid w:val="312767C0"/>
    <w:rsid w:val="33C71B1D"/>
    <w:rsid w:val="3DF0524F"/>
    <w:rsid w:val="3F67248C"/>
    <w:rsid w:val="3FF4531D"/>
    <w:rsid w:val="40BE284E"/>
    <w:rsid w:val="456932A0"/>
    <w:rsid w:val="4A536B89"/>
    <w:rsid w:val="4AC144AF"/>
    <w:rsid w:val="4B6C72CE"/>
    <w:rsid w:val="4D92799F"/>
    <w:rsid w:val="4EAD33EA"/>
    <w:rsid w:val="51AF6817"/>
    <w:rsid w:val="54385E41"/>
    <w:rsid w:val="56096865"/>
    <w:rsid w:val="5B92565E"/>
    <w:rsid w:val="5FF74A46"/>
    <w:rsid w:val="60711245"/>
    <w:rsid w:val="653F6CBA"/>
    <w:rsid w:val="7D63047D"/>
    <w:rsid w:val="7EAD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40" w:after="330" w:line="576" w:lineRule="auto"/>
      <w:outlineLvl w:val="0"/>
    </w:pPr>
    <w:rPr>
      <w:rFonts w:cs="Arial"/>
      <w:b/>
      <w:kern w:val="44"/>
      <w:sz w:val="44"/>
      <w:szCs w:val="20"/>
    </w:rPr>
  </w:style>
  <w:style w:type="paragraph" w:styleId="3">
    <w:name w:val="heading 2"/>
    <w:basedOn w:val="1"/>
    <w:next w:val="1"/>
    <w:link w:val="3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theme="minorHAnsi"/>
      <w:b/>
      <w:kern w:val="0"/>
      <w:sz w:val="32"/>
      <w:szCs w:val="20"/>
    </w:rPr>
  </w:style>
  <w:style w:type="paragraph" w:styleId="4">
    <w:name w:val="heading 3"/>
    <w:basedOn w:val="1"/>
    <w:next w:val="1"/>
    <w:link w:val="32"/>
    <w:qFormat/>
    <w:uiPriority w:val="0"/>
    <w:pPr>
      <w:keepNext/>
      <w:keepLines/>
      <w:spacing w:before="260" w:after="260" w:line="413" w:lineRule="auto"/>
      <w:jc w:val="left"/>
      <w:outlineLvl w:val="2"/>
    </w:pPr>
    <w:rPr>
      <w:rFonts w:eastAsia="华文楷体" w:cs="Arial"/>
      <w:b/>
      <w:kern w:val="0"/>
      <w:sz w:val="36"/>
      <w:szCs w:val="20"/>
    </w:rPr>
  </w:style>
  <w:style w:type="paragraph" w:styleId="5">
    <w:name w:val="heading 4"/>
    <w:basedOn w:val="1"/>
    <w:next w:val="1"/>
    <w:link w:val="33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华文楷体"/>
      <w:b/>
      <w:kern w:val="0"/>
      <w:sz w:val="28"/>
      <w:szCs w:val="20"/>
    </w:rPr>
  </w:style>
  <w:style w:type="paragraph" w:styleId="6">
    <w:name w:val="heading 5"/>
    <w:basedOn w:val="1"/>
    <w:next w:val="1"/>
    <w:link w:val="34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rFonts w:cstheme="minorBidi"/>
      <w:b/>
      <w:bCs/>
      <w:sz w:val="28"/>
      <w:szCs w:val="28"/>
    </w:rPr>
  </w:style>
  <w:style w:type="paragraph" w:styleId="7">
    <w:name w:val="heading 6"/>
    <w:basedOn w:val="1"/>
    <w:next w:val="1"/>
    <w:link w:val="35"/>
    <w:qFormat/>
    <w:uiPriority w:val="0"/>
    <w:pPr>
      <w:keepNext/>
      <w:keepLines/>
      <w:widowControl/>
      <w:tabs>
        <w:tab w:val="left" w:pos="1440"/>
      </w:tabs>
      <w:spacing w:before="240" w:after="64" w:line="317" w:lineRule="auto"/>
      <w:ind w:left="1152" w:hanging="1152"/>
      <w:jc w:val="left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8">
    <w:name w:val="heading 7"/>
    <w:basedOn w:val="1"/>
    <w:next w:val="1"/>
    <w:link w:val="36"/>
    <w:qFormat/>
    <w:uiPriority w:val="0"/>
    <w:pPr>
      <w:keepNext/>
      <w:keepLines/>
      <w:widowControl/>
      <w:tabs>
        <w:tab w:val="left" w:pos="2520"/>
      </w:tabs>
      <w:spacing w:before="240" w:after="64" w:line="317" w:lineRule="auto"/>
      <w:ind w:left="1296" w:hanging="1296"/>
      <w:jc w:val="left"/>
      <w:outlineLvl w:val="6"/>
    </w:pPr>
    <w:rPr>
      <w:b/>
      <w:kern w:val="0"/>
      <w:sz w:val="24"/>
      <w:szCs w:val="20"/>
    </w:rPr>
  </w:style>
  <w:style w:type="paragraph" w:styleId="9">
    <w:name w:val="heading 8"/>
    <w:basedOn w:val="1"/>
    <w:next w:val="1"/>
    <w:link w:val="37"/>
    <w:qFormat/>
    <w:uiPriority w:val="0"/>
    <w:pPr>
      <w:keepNext/>
      <w:keepLines/>
      <w:widowControl/>
      <w:tabs>
        <w:tab w:val="left" w:pos="1440"/>
      </w:tabs>
      <w:spacing w:before="240" w:after="64" w:line="317" w:lineRule="auto"/>
      <w:ind w:left="1440" w:hanging="1440"/>
      <w:jc w:val="left"/>
      <w:outlineLvl w:val="7"/>
    </w:pPr>
    <w:rPr>
      <w:rFonts w:ascii="Arial" w:hAnsi="Arial" w:eastAsia="黑体"/>
      <w:kern w:val="0"/>
      <w:sz w:val="24"/>
      <w:szCs w:val="20"/>
    </w:rPr>
  </w:style>
  <w:style w:type="paragraph" w:styleId="10">
    <w:name w:val="heading 9"/>
    <w:basedOn w:val="1"/>
    <w:next w:val="1"/>
    <w:link w:val="38"/>
    <w:qFormat/>
    <w:uiPriority w:val="0"/>
    <w:pPr>
      <w:keepNext/>
      <w:keepLines/>
      <w:widowControl/>
      <w:tabs>
        <w:tab w:val="left" w:pos="1584"/>
      </w:tabs>
      <w:spacing w:before="240" w:after="64" w:line="317" w:lineRule="auto"/>
      <w:ind w:left="1584" w:hanging="1584"/>
      <w:jc w:val="left"/>
      <w:outlineLvl w:val="8"/>
    </w:pPr>
    <w:rPr>
      <w:rFonts w:ascii="Arial" w:hAnsi="Arial" w:eastAsia="黑体"/>
      <w:kern w:val="0"/>
      <w:sz w:val="20"/>
      <w:szCs w:val="20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2">
    <w:name w:val="Balloon Text"/>
    <w:basedOn w:val="1"/>
    <w:link w:val="40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uiPriority w:val="39"/>
  </w:style>
  <w:style w:type="paragraph" w:styleId="16">
    <w:name w:val="toc 2"/>
    <w:basedOn w:val="1"/>
    <w:next w:val="1"/>
    <w:semiHidden/>
    <w:unhideWhenUsed/>
    <w:uiPriority w:val="39"/>
    <w:pPr>
      <w:ind w:left="420" w:leftChars="200"/>
    </w:pPr>
  </w:style>
  <w:style w:type="paragraph" w:styleId="17">
    <w:name w:val="Title"/>
    <w:basedOn w:val="1"/>
    <w:link w:val="30"/>
    <w:qFormat/>
    <w:uiPriority w:val="0"/>
    <w:pPr>
      <w:adjustRightInd w:val="0"/>
      <w:spacing w:before="240" w:after="60" w:line="420" w:lineRule="atLeast"/>
      <w:jc w:val="left"/>
      <w:textAlignment w:val="baseline"/>
      <w:outlineLvl w:val="0"/>
    </w:pPr>
    <w:rPr>
      <w:rFonts w:ascii="Arial" w:hAnsi="Arial" w:eastAsia="华文楷体" w:cs="Arial"/>
      <w:b/>
      <w:kern w:val="0"/>
      <w:sz w:val="32"/>
      <w:szCs w:val="20"/>
    </w:rPr>
  </w:style>
  <w:style w:type="character" w:styleId="20">
    <w:name w:val="Strong"/>
    <w:qFormat/>
    <w:uiPriority w:val="22"/>
    <w:rPr>
      <w:b/>
      <w:bCs/>
    </w:rPr>
  </w:style>
  <w:style w:type="character" w:styleId="21">
    <w:name w:val="FollowedHyperlink"/>
    <w:basedOn w:val="19"/>
    <w:semiHidden/>
    <w:unhideWhenUsed/>
    <w:uiPriority w:val="99"/>
    <w:rPr>
      <w:color w:val="428BCA"/>
      <w:u w:val="none"/>
    </w:rPr>
  </w:style>
  <w:style w:type="character" w:styleId="22">
    <w:name w:val="Emphasis"/>
    <w:qFormat/>
    <w:uiPriority w:val="20"/>
    <w:rPr>
      <w:i/>
      <w:iCs/>
    </w:rPr>
  </w:style>
  <w:style w:type="character" w:styleId="23">
    <w:name w:val="HTML Definition"/>
    <w:basedOn w:val="19"/>
    <w:semiHidden/>
    <w:unhideWhenUsed/>
    <w:uiPriority w:val="99"/>
    <w:rPr>
      <w:i/>
    </w:rPr>
  </w:style>
  <w:style w:type="character" w:styleId="24">
    <w:name w:val="Hyperlink"/>
    <w:basedOn w:val="1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HTML Code"/>
    <w:basedOn w:val="19"/>
    <w:semiHidden/>
    <w:unhideWhenUsed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26">
    <w:name w:val="HTML Cite"/>
    <w:basedOn w:val="19"/>
    <w:semiHidden/>
    <w:unhideWhenUsed/>
    <w:uiPriority w:val="99"/>
  </w:style>
  <w:style w:type="character" w:styleId="27">
    <w:name w:val="HTML Keyboard"/>
    <w:basedOn w:val="19"/>
    <w:semiHidden/>
    <w:unhideWhenUsed/>
    <w:uiPriority w:val="99"/>
    <w:rPr>
      <w:rFonts w:hint="default" w:ascii="serif" w:hAnsi="serif" w:eastAsia="serif" w:cs="serif"/>
      <w:sz w:val="21"/>
      <w:szCs w:val="21"/>
    </w:rPr>
  </w:style>
  <w:style w:type="character" w:styleId="28">
    <w:name w:val="HTML Sample"/>
    <w:basedOn w:val="19"/>
    <w:semiHidden/>
    <w:unhideWhenUsed/>
    <w:uiPriority w:val="99"/>
    <w:rPr>
      <w:rFonts w:ascii="serif" w:hAnsi="serif" w:eastAsia="serif" w:cs="serif"/>
      <w:sz w:val="21"/>
      <w:szCs w:val="21"/>
    </w:rPr>
  </w:style>
  <w:style w:type="character" w:customStyle="1" w:styleId="29">
    <w:name w:val="标题 1 字符"/>
    <w:link w:val="2"/>
    <w:qFormat/>
    <w:uiPriority w:val="0"/>
    <w:rPr>
      <w:rFonts w:cs="Arial"/>
      <w:b/>
      <w:kern w:val="44"/>
      <w:sz w:val="44"/>
    </w:rPr>
  </w:style>
  <w:style w:type="character" w:customStyle="1" w:styleId="30">
    <w:name w:val="标题 字符"/>
    <w:link w:val="17"/>
    <w:qFormat/>
    <w:uiPriority w:val="0"/>
    <w:rPr>
      <w:rFonts w:ascii="Arial" w:hAnsi="Arial" w:eastAsia="华文楷体" w:cs="Arial"/>
      <w:b/>
      <w:sz w:val="32"/>
    </w:rPr>
  </w:style>
  <w:style w:type="character" w:customStyle="1" w:styleId="31">
    <w:name w:val="标题 2 字符"/>
    <w:link w:val="3"/>
    <w:qFormat/>
    <w:uiPriority w:val="0"/>
    <w:rPr>
      <w:rFonts w:ascii="Arial" w:hAnsi="Arial" w:eastAsia="黑体" w:cstheme="minorHAnsi"/>
      <w:b/>
      <w:sz w:val="32"/>
    </w:rPr>
  </w:style>
  <w:style w:type="character" w:customStyle="1" w:styleId="32">
    <w:name w:val="标题 3 字符"/>
    <w:link w:val="4"/>
    <w:qFormat/>
    <w:uiPriority w:val="0"/>
    <w:rPr>
      <w:rFonts w:eastAsia="华文楷体" w:cs="Arial"/>
      <w:b/>
      <w:sz w:val="36"/>
    </w:rPr>
  </w:style>
  <w:style w:type="character" w:customStyle="1" w:styleId="33">
    <w:name w:val="标题 4 字符"/>
    <w:link w:val="5"/>
    <w:qFormat/>
    <w:uiPriority w:val="0"/>
    <w:rPr>
      <w:rFonts w:ascii="Arial" w:hAnsi="Arial" w:eastAsia="华文楷体"/>
      <w:b/>
      <w:sz w:val="28"/>
    </w:rPr>
  </w:style>
  <w:style w:type="character" w:customStyle="1" w:styleId="34">
    <w:name w:val="标题 5 字符"/>
    <w:basedOn w:val="19"/>
    <w:link w:val="6"/>
    <w:semiHidden/>
    <w:qFormat/>
    <w:uiPriority w:val="9"/>
    <w:rPr>
      <w:rFonts w:cstheme="minorBidi"/>
      <w:b/>
      <w:bCs/>
      <w:kern w:val="2"/>
      <w:sz w:val="28"/>
      <w:szCs w:val="28"/>
    </w:rPr>
  </w:style>
  <w:style w:type="character" w:customStyle="1" w:styleId="35">
    <w:name w:val="标题 6 字符"/>
    <w:link w:val="7"/>
    <w:qFormat/>
    <w:uiPriority w:val="0"/>
    <w:rPr>
      <w:rFonts w:ascii="Arial" w:hAnsi="Arial" w:eastAsia="黑体"/>
      <w:b/>
      <w:sz w:val="24"/>
    </w:rPr>
  </w:style>
  <w:style w:type="character" w:customStyle="1" w:styleId="36">
    <w:name w:val="标题 7 字符"/>
    <w:link w:val="8"/>
    <w:qFormat/>
    <w:uiPriority w:val="0"/>
    <w:rPr>
      <w:b/>
      <w:sz w:val="24"/>
    </w:rPr>
  </w:style>
  <w:style w:type="character" w:customStyle="1" w:styleId="37">
    <w:name w:val="标题 8 字符"/>
    <w:link w:val="9"/>
    <w:qFormat/>
    <w:uiPriority w:val="0"/>
    <w:rPr>
      <w:rFonts w:ascii="Arial" w:hAnsi="Arial" w:eastAsia="黑体"/>
      <w:sz w:val="24"/>
    </w:rPr>
  </w:style>
  <w:style w:type="character" w:customStyle="1" w:styleId="38">
    <w:name w:val="标题 9 字符"/>
    <w:link w:val="10"/>
    <w:qFormat/>
    <w:uiPriority w:val="0"/>
    <w:rPr>
      <w:rFonts w:ascii="Arial" w:hAnsi="Arial" w:eastAsia="黑体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批注框文本 字符"/>
    <w:basedOn w:val="19"/>
    <w:link w:val="12"/>
    <w:semiHidden/>
    <w:qFormat/>
    <w:uiPriority w:val="99"/>
    <w:rPr>
      <w:kern w:val="2"/>
      <w:sz w:val="18"/>
      <w:szCs w:val="18"/>
    </w:rPr>
  </w:style>
  <w:style w:type="character" w:customStyle="1" w:styleId="41">
    <w:name w:val="页眉 字符"/>
    <w:basedOn w:val="19"/>
    <w:link w:val="14"/>
    <w:qFormat/>
    <w:uiPriority w:val="99"/>
    <w:rPr>
      <w:kern w:val="2"/>
      <w:sz w:val="18"/>
      <w:szCs w:val="18"/>
    </w:rPr>
  </w:style>
  <w:style w:type="character" w:customStyle="1" w:styleId="42">
    <w:name w:val="页脚 字符"/>
    <w:basedOn w:val="19"/>
    <w:link w:val="13"/>
    <w:qFormat/>
    <w:uiPriority w:val="99"/>
    <w:rPr>
      <w:kern w:val="2"/>
      <w:sz w:val="18"/>
      <w:szCs w:val="18"/>
    </w:rPr>
  </w:style>
  <w:style w:type="paragraph" w:customStyle="1" w:styleId="43">
    <w:name w:val="Indent Normal"/>
    <w:basedOn w:val="1"/>
    <w:qFormat/>
    <w:uiPriority w:val="0"/>
    <w:pPr>
      <w:spacing w:line="360" w:lineRule="auto"/>
      <w:ind w:firstLine="150" w:firstLineChars="150"/>
      <w:jc w:val="left"/>
    </w:pPr>
    <w:rPr>
      <w:rFonts w:ascii="Times New Roman" w:hAnsi="Times New Roman" w:eastAsia="宋体" w:cs="Times New Roman"/>
      <w:sz w:val="24"/>
      <w:szCs w:val="24"/>
    </w:rPr>
  </w:style>
  <w:style w:type="paragraph" w:customStyle="1" w:styleId="44">
    <w:name w:val="WPSOffice手动目录 1"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5">
    <w:name w:val="WPSOffice手动目录 2"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6">
    <w:name w:val="WPSOffice手动目录 3"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7C8333-E61E-48F5-AC0F-E689C55542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619</Words>
  <Characters>3533</Characters>
  <Lines>29</Lines>
  <Paragraphs>8</Paragraphs>
  <TotalTime>1</TotalTime>
  <ScaleCrop>false</ScaleCrop>
  <LinksUpToDate>false</LinksUpToDate>
  <CharactersWithSpaces>4144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2012-03-29T05:46:00Z</dcterms:created>
  <dc:creator>系统管理员</dc:creator>
  <cp:lastModifiedBy>城</cp:lastModifiedBy>
  <cp:lastPrinted>2012-03-31T03:32:00Z</cp:lastPrinted>
  <dcterms:modified xsi:type="dcterms:W3CDTF">2021-02-24T06:51:47Z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