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b/>
          <w:kern w:val="0"/>
          <w:sz w:val="24"/>
        </w:rPr>
      </w:pPr>
    </w:p>
    <w:p>
      <w:pPr>
        <w:jc w:val="left"/>
        <w:rPr>
          <w:rFonts w:hint="eastAsia" w:ascii="黑体" w:hAnsi="黑体" w:eastAsia="黑体" w:cs="黑体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24"/>
        </w:rPr>
        <w:t>一、项目概况与总体要求</w:t>
      </w: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（一）项目背景</w:t>
      </w: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（二）建设内容</w:t>
      </w:r>
    </w:p>
    <w:p>
      <w:pPr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（三）建设地点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（四）现场情况</w:t>
      </w:r>
    </w:p>
    <w:p>
      <w:p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（五）中小企业划分标准所属行业（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文件《中小企业声明函》中要求填写的“采购文件中明确的所属行业”应与下述行业一致。）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：</w:t>
      </w:r>
    </w:p>
    <w:p>
      <w:pPr>
        <w:jc w:val="left"/>
        <w:rPr>
          <w:rFonts w:ascii="仿宋" w:hAnsi="宋体" w:eastAsia="仿宋"/>
          <w:kern w:val="0"/>
          <w:sz w:val="24"/>
        </w:rPr>
      </w:pPr>
    </w:p>
    <w:p>
      <w:pPr>
        <w:pStyle w:val="2"/>
        <w:keepNext w:val="0"/>
        <w:keepLines w:val="0"/>
        <w:spacing w:before="0" w:after="0" w:line="240" w:lineRule="auto"/>
        <w:jc w:val="left"/>
        <w:rPr>
          <w:rFonts w:hint="eastAsia" w:ascii="黑体" w:hAnsi="黑体" w:eastAsia="黑体" w:cs="黑体"/>
          <w:bCs w:val="0"/>
          <w:sz w:val="24"/>
          <w:szCs w:val="30"/>
        </w:rPr>
      </w:pPr>
      <w:r>
        <w:rPr>
          <w:rFonts w:hint="eastAsia" w:ascii="黑体" w:hAnsi="黑体" w:eastAsia="黑体" w:cs="黑体"/>
          <w:bCs w:val="0"/>
          <w:sz w:val="24"/>
          <w:szCs w:val="30"/>
        </w:rPr>
        <w:t>二、采购标的需执行的强制标准、规范</w:t>
      </w:r>
    </w:p>
    <w:p>
      <w:pPr>
        <w:pStyle w:val="14"/>
        <w:ind w:firstLine="0" w:firstLineChars="0"/>
        <w:rPr>
          <w:rFonts w:ascii="仿宋" w:hAnsi="宋体" w:eastAsia="仿宋" w:cs="宋体"/>
          <w:bCs/>
          <w:sz w:val="24"/>
          <w:szCs w:val="24"/>
        </w:rPr>
      </w:pPr>
    </w:p>
    <w:p>
      <w:pPr>
        <w:pStyle w:val="14"/>
        <w:ind w:firstLine="0" w:firstLineChars="0"/>
        <w:rPr>
          <w:rFonts w:ascii="仿宋" w:hAnsi="宋体" w:eastAsia="仿宋" w:cs="宋体"/>
          <w:bCs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24"/>
        </w:rPr>
        <w:t>三、工程量清单</w:t>
      </w:r>
    </w:p>
    <w:p>
      <w:pPr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</w:rPr>
      </w:pPr>
      <w:bookmarkStart w:id="0" w:name="_Toc247085856"/>
      <w:bookmarkStart w:id="1" w:name="_Toc246997084"/>
      <w:bookmarkStart w:id="2" w:name="_Toc144974835"/>
      <w:bookmarkStart w:id="3" w:name="_Toc152042555"/>
      <w:bookmarkStart w:id="4" w:name="_Toc296602588"/>
      <w:bookmarkStart w:id="5" w:name="_Toc246996341"/>
      <w:bookmarkStart w:id="6" w:name="_Toc179632790"/>
      <w:bookmarkStart w:id="7" w:name="_Toc152045773"/>
      <w:r>
        <w:rPr>
          <w:rFonts w:hint="eastAsia" w:ascii="宋体" w:hAnsi="宋体" w:eastAsia="宋体" w:cs="宋体"/>
          <w:kern w:val="0"/>
          <w:sz w:val="24"/>
        </w:rPr>
        <w:t>（一）工程量清单说明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1、本工程量清单是根据采购文件中包括的、有合同约束力的图纸（如有）以及有关工程量清单的国家标准、行业标准编制，是采购文件的组成部分。一经中标（成交）且签订合同，即成为合同的组成部分。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2、本工程量清单应与采购文件中的供应商须知、技术标准和要求及图纸等一起阅读和理解。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3、工程量清单标明的工程量作为供应商报价的共同基础。</w:t>
      </w:r>
    </w:p>
    <w:p>
      <w:pPr>
        <w:ind w:firstLine="240" w:firstLineChars="100"/>
        <w:rPr>
          <w:rFonts w:hint="eastAsia" w:ascii="宋体" w:hAnsi="宋体" w:eastAsia="宋体" w:cs="宋体"/>
          <w:kern w:val="0"/>
          <w:sz w:val="24"/>
        </w:rPr>
      </w:pPr>
      <w:bookmarkStart w:id="8" w:name="_Toc247085857"/>
      <w:bookmarkStart w:id="9" w:name="_Toc246997085"/>
      <w:bookmarkStart w:id="10" w:name="_Toc179632791"/>
      <w:bookmarkStart w:id="11" w:name="_Toc152042556"/>
      <w:bookmarkStart w:id="12" w:name="_Toc246996342"/>
      <w:bookmarkStart w:id="13" w:name="_Toc296602589"/>
      <w:bookmarkStart w:id="14" w:name="_Toc144974836"/>
      <w:bookmarkStart w:id="15" w:name="_Toc152045774"/>
      <w:r>
        <w:rPr>
          <w:rFonts w:hint="eastAsia" w:ascii="宋体" w:hAnsi="宋体" w:eastAsia="宋体" w:cs="宋体"/>
          <w:kern w:val="0"/>
          <w:sz w:val="24"/>
        </w:rPr>
        <w:t>（二）报价说明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1、工程量清单中的每一子目须填入单价或价格，且只允许有一个报价。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2、工程量清单中标价的单价或金额，应包括所需的人工费、材料和施工机具使用费、企业管理费、利润以及一定范围内的风险费用等。</w:t>
      </w:r>
    </w:p>
    <w:p>
      <w:pPr>
        <w:ind w:firstLine="36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3、工程量清单中供应商没有填入单价或价格的子目，其费用视为已分摊在工程量清单中其他相关子目的单价或价格之中。</w:t>
      </w:r>
    </w:p>
    <w:p>
      <w:pPr>
        <w:ind w:firstLine="240" w:firstLineChars="1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（三）工程量清单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详见附件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pStyle w:val="2"/>
        <w:keepNext w:val="0"/>
        <w:keepLines w:val="0"/>
        <w:spacing w:before="0" w:after="0" w:line="240" w:lineRule="auto"/>
        <w:jc w:val="left"/>
        <w:rPr>
          <w:rFonts w:ascii="宋体" w:hAnsi="宋体" w:eastAsia="黑体"/>
          <w:bCs w:val="0"/>
          <w:sz w:val="24"/>
          <w:szCs w:val="30"/>
        </w:rPr>
      </w:pPr>
    </w:p>
    <w:p>
      <w:pPr>
        <w:pStyle w:val="2"/>
        <w:keepNext w:val="0"/>
        <w:keepLines w:val="0"/>
        <w:numPr>
          <w:ilvl w:val="0"/>
          <w:numId w:val="1"/>
        </w:numPr>
        <w:spacing w:before="0" w:after="0" w:line="240" w:lineRule="auto"/>
        <w:jc w:val="left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bCs w:val="0"/>
          <w:sz w:val="24"/>
          <w:szCs w:val="30"/>
        </w:rPr>
        <w:t>商务要求</w:t>
      </w:r>
    </w:p>
    <w:p>
      <w:pPr>
        <w:ind w:firstLine="482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说明：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>本部分内容均为实质性条款，供应商的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kern w:val="0"/>
          <w:sz w:val="24"/>
          <w:lang w:val="zh-CN"/>
        </w:rPr>
        <w:t>必须完全满足或者正偏离，且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应在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文件《商务条款偏离表》中对本部分所有条款逐条说明响应或偏离情况，否则按照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无效处理</w:t>
      </w:r>
      <w:r>
        <w:rPr>
          <w:rFonts w:hint="eastAsia" w:ascii="宋体" w:hAnsi="宋体" w:eastAsia="宋体" w:cs="宋体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tbl>
      <w:tblPr>
        <w:tblStyle w:val="7"/>
        <w:tblpPr w:leftFromText="180" w:rightFromText="180" w:vertAnchor="text" w:horzAnchor="page" w:tblpX="1345" w:tblpY="180"/>
        <w:tblOverlap w:val="never"/>
        <w:tblW w:w="94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2"/>
        <w:gridCol w:w="6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商务条款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工期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采购合同签订之日起   天。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质量要求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验收合格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付款条件（进度和方式）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中小企业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（需执行《保障中小企业款项支付条例》【国务院第728令】的相关规定）：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非中小企业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本项目合同款通过国库集中支付，采购人按约定的付款时间向长春市财政局提出资金支付申请，则视同采购人已履行了合同付款义务。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售后服务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（包括质量保修范围和保修期等）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证明材料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供应商需提供的技术服务证明材料：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强制采购产品认证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下述节能环保产品强制采购认证证书：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…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left"/>
        <w:rPr>
          <w:rFonts w:hint="eastAsia" w:ascii="宋体" w:hAnsi="宋体" w:eastAsia="宋体" w:cs="宋体"/>
          <w:bCs w:val="0"/>
          <w:sz w:val="24"/>
          <w:szCs w:val="30"/>
        </w:rPr>
      </w:pP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left"/>
        <w:rPr>
          <w:rFonts w:hint="eastAsia" w:ascii="黑体" w:hAnsi="黑体" w:eastAsia="黑体" w:cs="黑体"/>
          <w:bCs w:val="0"/>
          <w:sz w:val="24"/>
          <w:szCs w:val="30"/>
        </w:rPr>
      </w:pPr>
      <w:r>
        <w:rPr>
          <w:rFonts w:hint="eastAsia" w:ascii="黑体" w:hAnsi="黑体" w:eastAsia="黑体" w:cs="黑体"/>
          <w:bCs w:val="0"/>
          <w:sz w:val="24"/>
          <w:szCs w:val="30"/>
          <w:lang w:val="en-US" w:eastAsia="zh-CN"/>
        </w:rPr>
        <w:t>五、</w:t>
      </w:r>
      <w:r>
        <w:rPr>
          <w:rFonts w:hint="eastAsia" w:ascii="黑体" w:hAnsi="黑体" w:eastAsia="黑体" w:cs="黑体"/>
          <w:bCs w:val="0"/>
          <w:sz w:val="24"/>
          <w:szCs w:val="30"/>
        </w:rPr>
        <w:t>合同主要条款</w:t>
      </w:r>
    </w:p>
    <w:tbl>
      <w:tblPr>
        <w:tblStyle w:val="7"/>
        <w:tblpPr w:leftFromText="180" w:rightFromText="180" w:vertAnchor="text" w:horzAnchor="page" w:tblpX="1345" w:tblpY="180"/>
        <w:tblOverlap w:val="never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6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内容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承包方式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大包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合同类型及定价方式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固定总价/固定单价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履约保证金数额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非中小企业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Cs/>
                <w:sz w:val="24"/>
              </w:rPr>
              <w:t>的：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Cs/>
                <w:sz w:val="24"/>
              </w:rPr>
              <w:t>金额的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%（0-5%）。</w:t>
            </w:r>
          </w:p>
          <w:p>
            <w:pPr>
              <w:widowControl/>
              <w:spacing w:line="48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中小企业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Cs/>
                <w:sz w:val="24"/>
              </w:rPr>
              <w:t>的：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bCs/>
                <w:sz w:val="24"/>
              </w:rPr>
              <w:t>金额的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%（0-2%）。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成交供应商交</w:t>
            </w:r>
            <w:bookmarkStart w:id="16" w:name="_GoBack"/>
            <w:bookmarkEnd w:id="16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纳履约保证金须在转账凭证备注栏里填写（采购项目+采购项目编号）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履约保证金账户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  <w:t>开户名：</w:t>
            </w:r>
          </w:p>
          <w:p>
            <w:pPr>
              <w:pStyle w:val="3"/>
              <w:tabs>
                <w:tab w:val="left" w:pos="3570"/>
              </w:tabs>
              <w:adjustRightInd w:val="0"/>
              <w:snapToGrid w:val="0"/>
              <w:ind w:firstLine="480" w:firstLineChars="200"/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  <w:t>账  号：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Calibri" w:cs="宋体"/>
                <w:b w:val="0"/>
                <w:bCs/>
                <w:sz w:val="24"/>
                <w:szCs w:val="24"/>
              </w:rPr>
              <w:t>开户行：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履约验收要求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（包括履约验收的主体、时间、方式、程序、内容和验收标准等事项）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  <w:t>违约责任与解决争议的方法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val="zh-CN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…</w:t>
            </w:r>
          </w:p>
        </w:tc>
        <w:tc>
          <w:tcPr>
            <w:tcW w:w="6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ascii="仿宋_GB2312" w:hAnsi="宋体" w:eastAsia="仿宋"/>
          <w:kern w:val="0"/>
          <w:sz w:val="24"/>
        </w:rPr>
      </w:pPr>
    </w:p>
    <w:p>
      <w:pPr>
        <w:pStyle w:val="2"/>
        <w:keepNext w:val="0"/>
        <w:keepLines w:val="0"/>
        <w:spacing w:before="0" w:after="0" w:line="240" w:lineRule="auto"/>
        <w:jc w:val="left"/>
        <w:rPr>
          <w:rFonts w:hint="eastAsia" w:ascii="黑体" w:hAnsi="宋体" w:eastAsia="黑体"/>
          <w:kern w:val="0"/>
          <w:sz w:val="24"/>
        </w:rPr>
      </w:pPr>
      <w:r>
        <w:rPr>
          <w:rFonts w:hint="eastAsia" w:ascii="宋体" w:hAnsi="宋体" w:eastAsia="黑体"/>
          <w:bCs w:val="0"/>
          <w:sz w:val="24"/>
          <w:szCs w:val="30"/>
          <w:lang w:val="en-US" w:eastAsia="zh-CN"/>
        </w:rPr>
        <w:t>六</w:t>
      </w:r>
      <w:r>
        <w:rPr>
          <w:rFonts w:hint="eastAsia" w:ascii="宋体" w:hAnsi="宋体" w:eastAsia="黑体"/>
          <w:bCs w:val="0"/>
          <w:sz w:val="24"/>
          <w:szCs w:val="30"/>
        </w:rPr>
        <w:t>、</w:t>
      </w:r>
      <w:r>
        <w:rPr>
          <w:rFonts w:hint="eastAsia" w:ascii="黑体" w:hAnsi="宋体" w:eastAsia="黑体"/>
          <w:kern w:val="0"/>
          <w:sz w:val="24"/>
        </w:rPr>
        <w:t>在谈判（磋商）过程中可能实质性变动的内容</w:t>
      </w:r>
    </w:p>
    <w:p>
      <w:pPr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（提示：采用竞争性谈判、竞争性磋商方式的项目填写此项）</w:t>
      </w:r>
    </w:p>
    <w:p>
      <w:pPr>
        <w:pStyle w:val="2"/>
        <w:keepNext w:val="0"/>
        <w:keepLines w:val="0"/>
        <w:spacing w:before="0" w:after="0" w:line="240" w:lineRule="auto"/>
        <w:jc w:val="left"/>
        <w:rPr>
          <w:rFonts w:hint="eastAsia" w:ascii="宋体" w:hAnsi="宋体" w:eastAsia="黑体"/>
          <w:bCs w:val="0"/>
          <w:sz w:val="24"/>
          <w:szCs w:val="30"/>
        </w:rPr>
      </w:pPr>
    </w:p>
    <w:p>
      <w:pPr>
        <w:pageBreakBefore/>
        <w:jc w:val="center"/>
        <w:rPr>
          <w:rFonts w:hint="eastAsia" w:ascii="宋体" w:hAnsi="宋体" w:eastAsia="宋体" w:cs="宋体"/>
          <w:b/>
          <w:kern w:val="0"/>
          <w:sz w:val="30"/>
        </w:rPr>
      </w:pPr>
      <w:r>
        <w:rPr>
          <w:rFonts w:hint="eastAsia" w:ascii="宋体" w:hAnsi="宋体" w:eastAsia="宋体" w:cs="宋体"/>
          <w:b/>
          <w:kern w:val="0"/>
          <w:sz w:val="30"/>
        </w:rPr>
        <w:t>工程量清单</w:t>
      </w:r>
    </w:p>
    <w:p>
      <w:pPr>
        <w:widowControl/>
        <w:ind w:firstLine="3360"/>
        <w:jc w:val="left"/>
        <w:rPr>
          <w:rFonts w:ascii="仿宋_GB2312" w:hAnsi="宋体" w:eastAsia="仿宋_GB2312"/>
          <w:kern w:val="0"/>
          <w:sz w:val="24"/>
        </w:rPr>
      </w:pPr>
    </w:p>
    <w:tbl>
      <w:tblPr>
        <w:tblStyle w:val="7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800"/>
        <w:gridCol w:w="1260"/>
        <w:gridCol w:w="2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项目编码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项目特征描述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计量单位</w:t>
            </w:r>
          </w:p>
        </w:tc>
        <w:tc>
          <w:tcPr>
            <w:tcW w:w="2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工程量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11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13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14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15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16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17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18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19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…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11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黑体"/>
          <w:b/>
          <w:kern w:val="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26378"/>
    <w:multiLevelType w:val="singleLevel"/>
    <w:tmpl w:val="DB3263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OTMzZmNkMTAzMDhmYzQ3M2ZmMzAyYjljMDIzOGIifQ=="/>
  </w:docVars>
  <w:rsids>
    <w:rsidRoot w:val="00AF554A"/>
    <w:rsid w:val="000E302A"/>
    <w:rsid w:val="00271750"/>
    <w:rsid w:val="00542563"/>
    <w:rsid w:val="005E514D"/>
    <w:rsid w:val="009D5F4A"/>
    <w:rsid w:val="00AF554A"/>
    <w:rsid w:val="00C25B2F"/>
    <w:rsid w:val="03077DB4"/>
    <w:rsid w:val="03DB61FB"/>
    <w:rsid w:val="06443B66"/>
    <w:rsid w:val="06884FB1"/>
    <w:rsid w:val="07BF4A77"/>
    <w:rsid w:val="0BEB6166"/>
    <w:rsid w:val="0C36354B"/>
    <w:rsid w:val="0D251113"/>
    <w:rsid w:val="0D685A72"/>
    <w:rsid w:val="0F3E54F5"/>
    <w:rsid w:val="14CC4871"/>
    <w:rsid w:val="16532D75"/>
    <w:rsid w:val="1D83491B"/>
    <w:rsid w:val="25457029"/>
    <w:rsid w:val="30401A8C"/>
    <w:rsid w:val="349C7F7D"/>
    <w:rsid w:val="34AA5EDF"/>
    <w:rsid w:val="34E56CBD"/>
    <w:rsid w:val="3A707558"/>
    <w:rsid w:val="3C4817D3"/>
    <w:rsid w:val="3F1433E2"/>
    <w:rsid w:val="3F756CB8"/>
    <w:rsid w:val="43810BDF"/>
    <w:rsid w:val="43F53F08"/>
    <w:rsid w:val="44174CD2"/>
    <w:rsid w:val="45B17C27"/>
    <w:rsid w:val="49C5526C"/>
    <w:rsid w:val="4A5F627D"/>
    <w:rsid w:val="4B9F21FD"/>
    <w:rsid w:val="4D2B66CE"/>
    <w:rsid w:val="51F037A8"/>
    <w:rsid w:val="53D30066"/>
    <w:rsid w:val="564D3CA8"/>
    <w:rsid w:val="56537BF5"/>
    <w:rsid w:val="5B486AC3"/>
    <w:rsid w:val="5CAB1177"/>
    <w:rsid w:val="62E55B52"/>
    <w:rsid w:val="63BA080D"/>
    <w:rsid w:val="63BA3C1F"/>
    <w:rsid w:val="64140BCB"/>
    <w:rsid w:val="644D6699"/>
    <w:rsid w:val="6731481B"/>
    <w:rsid w:val="676934D9"/>
    <w:rsid w:val="6B9A4319"/>
    <w:rsid w:val="6C83444F"/>
    <w:rsid w:val="6FE27A65"/>
    <w:rsid w:val="71B51708"/>
    <w:rsid w:val="73FA7C7D"/>
    <w:rsid w:val="746E2869"/>
    <w:rsid w:val="748D1251"/>
    <w:rsid w:val="763E57F6"/>
    <w:rsid w:val="7BDC2068"/>
    <w:rsid w:val="7C260B11"/>
    <w:rsid w:val="7C525C10"/>
    <w:rsid w:val="7DEF3645"/>
    <w:rsid w:val="7E2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b/>
      <w:sz w:val="30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标题 2 Char"/>
    <w:basedOn w:val="9"/>
    <w:link w:val="2"/>
    <w:semiHidden/>
    <w:qFormat/>
    <w:uiPriority w:val="0"/>
    <w:rPr>
      <w:rFonts w:ascii="Cambria" w:hAnsi="Cambria" w:eastAsia="宋体" w:cs="宋体"/>
      <w:b/>
      <w:bCs/>
      <w:sz w:val="32"/>
      <w:szCs w:val="32"/>
    </w:rPr>
  </w:style>
  <w:style w:type="character" w:customStyle="1" w:styleId="13">
    <w:name w:val="列出段落 Char"/>
    <w:link w:val="14"/>
    <w:qFormat/>
    <w:locked/>
    <w:uiPriority w:val="34"/>
    <w:rPr>
      <w:rFonts w:ascii="Calibri" w:hAnsi="Calibri"/>
    </w:rPr>
  </w:style>
  <w:style w:type="paragraph" w:styleId="14">
    <w:name w:val="List Paragraph"/>
    <w:basedOn w:val="1"/>
    <w:link w:val="13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1060</Words>
  <Characters>1079</Characters>
  <Lines>43</Lines>
  <Paragraphs>12</Paragraphs>
  <TotalTime>0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2018-11-14T03:34:00Z</dcterms:created>
  <dc:creator>Administrator</dc:creator>
  <cp:lastModifiedBy>梓羽</cp:lastModifiedBy>
  <cp:lastPrinted>2021-10-26T05:43:00Z</cp:lastPrinted>
  <dcterms:modified xsi:type="dcterms:W3CDTF">2022-10-13T03:07:43Z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EC10A629C63241CA8A3BB357D86A0801</vt:lpwstr>
  </property>
</Properties>
</file>